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lang w:val="en-US" w:eastAsia="zh-CN"/>
        </w:rPr>
        <w:t>南康城发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集团公开招聘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lang w:val="en-US" w:eastAsia="zh-CN"/>
        </w:rPr>
        <w:t>拟录用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南康区城发集团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岗位信息要求，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经报名、收集简历、资格审查、笔试、面试、体检、背景调查等程序，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确定以下2人为拟聘用人选，公示如下：</w:t>
      </w: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3061"/>
        <w:gridCol w:w="1725"/>
        <w:gridCol w:w="2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岗位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纪检专员（纪检监察部）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卢悦仪</w:t>
            </w:r>
            <w:bookmarkStart w:id="0" w:name="_GoBack"/>
            <w:bookmarkEnd w:id="0"/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181****6716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项目管理/运营（汽车城公司）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黄春蕾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152****6595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公示期为2022年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日，公示期间如有异议，请向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赣州市南康区城市建设发展集团有限公司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纪检监察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口头或书面反映。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电话：0797-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6627519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"mailto:gzltjjjcb@163.com"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nkcfjw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赣州市南康区城市建设发展集团有限公司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2022年10月9日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00172A27"/>
    <w:rsid w:val="098C000C"/>
    <w:rsid w:val="098F681F"/>
    <w:rsid w:val="0A28302A"/>
    <w:rsid w:val="0DA21557"/>
    <w:rsid w:val="0E3360E1"/>
    <w:rsid w:val="174C610D"/>
    <w:rsid w:val="19DF4F13"/>
    <w:rsid w:val="21191D74"/>
    <w:rsid w:val="2F5E184F"/>
    <w:rsid w:val="327A4219"/>
    <w:rsid w:val="32C23F08"/>
    <w:rsid w:val="3A893EBE"/>
    <w:rsid w:val="3BBC0C5F"/>
    <w:rsid w:val="407E667B"/>
    <w:rsid w:val="43667E0C"/>
    <w:rsid w:val="4BBB41BA"/>
    <w:rsid w:val="4D390923"/>
    <w:rsid w:val="50466F67"/>
    <w:rsid w:val="5426080B"/>
    <w:rsid w:val="6F752A7C"/>
    <w:rsid w:val="6FD23D88"/>
    <w:rsid w:val="702C0948"/>
    <w:rsid w:val="727E58C9"/>
    <w:rsid w:val="74106D7C"/>
    <w:rsid w:val="7874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224</Words>
  <Characters>278</Characters>
  <Lines>0</Lines>
  <Paragraphs>0</Paragraphs>
  <TotalTime>9</TotalTime>
  <ScaleCrop>false</ScaleCrop>
  <LinksUpToDate>false</LinksUpToDate>
  <CharactersWithSpaces>294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2022-09-06T08:38:00Z</dcterms:created>
  <dc:creator>Dell</dc:creator>
  <cp:lastModifiedBy>Stoneage</cp:lastModifiedBy>
  <dcterms:modified xsi:type="dcterms:W3CDTF">2022-10-10T02:53:01Z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567A605EC1C74472B1CD36751E84554E</vt:lpwstr>
  </property>
</Properties>
</file>