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赣州市南康区城发集团星冠贸易有限公司采购需求书</w:t>
      </w:r>
    </w:p>
    <w:p>
      <w:pPr>
        <w:jc w:val="center"/>
        <w:rPr>
          <w:rFonts w:hint="eastAsia" w:ascii="黑体" w:hAnsi="黑体" w:eastAsia="黑体" w:cs="黑体"/>
          <w:sz w:val="44"/>
          <w:szCs w:val="44"/>
          <w:lang w:val="en-US" w:eastAsia="zh-CN"/>
        </w:rPr>
      </w:pPr>
    </w:p>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项目名称：预制构件采购项目</w:t>
      </w:r>
    </w:p>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项目地点：赣州市南康区赣粤产业合作区（南康区）</w:t>
      </w:r>
    </w:p>
    <w:p>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需求单位：赣州市南康区城发集团星冠贸易有限公司</w:t>
      </w:r>
    </w:p>
    <w:p>
      <w:pPr>
        <w:pStyle w:val="2"/>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采购需求：详见材料需求清单</w:t>
      </w:r>
    </w:p>
    <w:p>
      <w:pPr>
        <w:pStyle w:val="2"/>
        <w:ind w:left="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开标时间：2023年5月30日下15:00时</w:t>
      </w:r>
    </w:p>
    <w:p>
      <w:pPr>
        <w:pStyle w:val="2"/>
        <w:ind w:left="0" w:leftChars="0" w:firstLine="0" w:firstLineChars="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采购方式：入库供应商报价，此次材料入库</w:t>
      </w:r>
      <w:r>
        <w:rPr>
          <w:rFonts w:hint="eastAsia" w:ascii="仿宋" w:hAnsi="仿宋" w:eastAsia="仿宋" w:cs="仿宋"/>
          <w:b w:val="0"/>
          <w:bCs w:val="0"/>
          <w:sz w:val="32"/>
          <w:szCs w:val="32"/>
          <w:lang w:val="en-US" w:eastAsia="zh-CN"/>
        </w:rPr>
        <w:t>截止时间：2023年5月30日下午14:30时前；</w:t>
      </w:r>
    </w:p>
    <w:p>
      <w:pPr>
        <w:pStyle w:val="2"/>
        <w:ind w:left="0" w:leftChars="0"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同时长期招有意向入库我司的装配式建筑供应商，报名联系地址：赣州市南康区城发集团星冠贸易有限公司--金融中心2号楼6楼，联系方式：0797-6696994</w:t>
      </w:r>
    </w:p>
    <w:p>
      <w:pPr>
        <w:pStyle w:val="2"/>
        <w:ind w:left="0" w:leftChars="0" w:firstLine="0" w:firstLineChars="0"/>
        <w:rPr>
          <w:rFonts w:hint="eastAsia" w:ascii="仿宋" w:hAnsi="仿宋" w:eastAsia="仿宋" w:cs="仿宋"/>
          <w:b w:val="0"/>
          <w:bCs w:val="0"/>
          <w:sz w:val="32"/>
          <w:szCs w:val="32"/>
          <w:lang w:val="en-US" w:eastAsia="zh-CN"/>
        </w:rPr>
      </w:pPr>
    </w:p>
    <w:p>
      <w:pPr>
        <w:pStyle w:val="2"/>
        <w:ind w:left="0" w:leftChars="0" w:firstLine="0" w:firstLineChars="0"/>
        <w:rPr>
          <w:rFonts w:hint="eastAsia" w:ascii="仿宋" w:hAnsi="仿宋" w:eastAsia="仿宋" w:cs="仿宋"/>
          <w:b w:val="0"/>
          <w:bCs w:val="0"/>
          <w:sz w:val="32"/>
          <w:szCs w:val="32"/>
          <w:lang w:val="en-US" w:eastAsia="zh-CN"/>
        </w:rPr>
      </w:pPr>
    </w:p>
    <w:p>
      <w:pPr>
        <w:pStyle w:val="2"/>
        <w:ind w:left="0" w:leftChars="0" w:firstLine="0" w:firstLineChars="0"/>
        <w:rPr>
          <w:rFonts w:hint="eastAsia" w:ascii="仿宋" w:hAnsi="仿宋" w:eastAsia="仿宋" w:cs="仿宋"/>
          <w:b w:val="0"/>
          <w:bCs w:val="0"/>
          <w:sz w:val="32"/>
          <w:szCs w:val="32"/>
          <w:lang w:val="en-US" w:eastAsia="zh-CN"/>
        </w:rPr>
      </w:pPr>
    </w:p>
    <w:p>
      <w:pPr>
        <w:pStyle w:val="2"/>
        <w:ind w:left="0" w:leftChars="0" w:firstLine="0" w:firstLineChars="0"/>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材料需求清单：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509"/>
        <w:gridCol w:w="1506"/>
        <w:gridCol w:w="1126"/>
        <w:gridCol w:w="2123"/>
        <w:gridCol w:w="1497"/>
        <w:gridCol w:w="1260"/>
        <w:gridCol w:w="2055"/>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509" w:type="dxa"/>
            <w:vAlign w:val="top"/>
          </w:tcPr>
          <w:p>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货物名称</w:t>
            </w:r>
          </w:p>
        </w:tc>
        <w:tc>
          <w:tcPr>
            <w:tcW w:w="1509" w:type="dxa"/>
            <w:vAlign w:val="top"/>
          </w:tcPr>
          <w:p>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规格型号</w:t>
            </w:r>
          </w:p>
        </w:tc>
        <w:tc>
          <w:tcPr>
            <w:tcW w:w="1506" w:type="dxa"/>
            <w:vAlign w:val="top"/>
          </w:tcPr>
          <w:p>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计量单位</w:t>
            </w:r>
          </w:p>
        </w:tc>
        <w:tc>
          <w:tcPr>
            <w:tcW w:w="1126" w:type="dxa"/>
            <w:vAlign w:val="top"/>
          </w:tcPr>
          <w:p>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数量</w:t>
            </w:r>
          </w:p>
        </w:tc>
        <w:tc>
          <w:tcPr>
            <w:tcW w:w="2123" w:type="dxa"/>
            <w:vAlign w:val="top"/>
          </w:tcPr>
          <w:p>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交货地点</w:t>
            </w:r>
          </w:p>
        </w:tc>
        <w:tc>
          <w:tcPr>
            <w:tcW w:w="1497" w:type="dxa"/>
            <w:vAlign w:val="top"/>
          </w:tcPr>
          <w:p>
            <w:pPr>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基准价</w:t>
            </w:r>
          </w:p>
          <w:p>
            <w:pPr>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28"/>
                <w:szCs w:val="28"/>
                <w:lang w:val="en-US" w:eastAsia="zh-CN" w:bidi="ar-SA"/>
              </w:rPr>
              <w:t>（含税价）</w:t>
            </w:r>
          </w:p>
        </w:tc>
        <w:tc>
          <w:tcPr>
            <w:tcW w:w="1260" w:type="dxa"/>
            <w:vAlign w:val="top"/>
          </w:tcPr>
          <w:p>
            <w:pPr>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下浮率</w:t>
            </w:r>
          </w:p>
          <w:p>
            <w:pPr>
              <w:pStyle w:val="2"/>
              <w:ind w:left="0" w:leftChars="0" w:firstLine="0" w:firstLineChars="0"/>
              <w:rPr>
                <w:rFonts w:hint="default"/>
                <w:lang w:val="en-US" w:eastAsia="zh-CN"/>
              </w:rPr>
            </w:pPr>
            <w:r>
              <w:rPr>
                <w:rFonts w:hint="eastAsia" w:ascii="仿宋" w:hAnsi="仿宋" w:eastAsia="仿宋" w:cs="仿宋"/>
                <w:kern w:val="2"/>
                <w:sz w:val="21"/>
                <w:szCs w:val="21"/>
                <w:lang w:val="en-US" w:eastAsia="zh-CN" w:bidi="ar-SA"/>
              </w:rPr>
              <w:t>(基准价下浮百分比）</w:t>
            </w:r>
          </w:p>
        </w:tc>
        <w:tc>
          <w:tcPr>
            <w:tcW w:w="2055" w:type="dxa"/>
            <w:vAlign w:val="top"/>
          </w:tcPr>
          <w:p>
            <w:pPr>
              <w:keepNext w:val="0"/>
              <w:keepLines w:val="0"/>
              <w:pageBreakBefore w:val="0"/>
              <w:widowControl w:val="0"/>
              <w:kinsoku/>
              <w:wordWrap/>
              <w:overflowPunct/>
              <w:topLinePunct w:val="0"/>
              <w:autoSpaceDE/>
              <w:autoSpaceDN/>
              <w:bidi w:val="0"/>
              <w:adjustRightInd/>
              <w:snapToGrid/>
              <w:spacing w:line="840" w:lineRule="auto"/>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结算价</w:t>
            </w:r>
          </w:p>
          <w:p>
            <w:pPr>
              <w:pStyle w:val="2"/>
              <w:ind w:left="0" w:leftChars="0" w:firstLine="0" w:firstLineChars="0"/>
              <w:jc w:val="center"/>
              <w:rPr>
                <w:rFonts w:hint="default"/>
                <w:lang w:val="en-US" w:eastAsia="zh-CN"/>
              </w:rPr>
            </w:pPr>
          </w:p>
        </w:tc>
        <w:tc>
          <w:tcPr>
            <w:tcW w:w="1583" w:type="dxa"/>
            <w:vAlign w:val="top"/>
          </w:tcPr>
          <w:p>
            <w:pPr>
              <w:keepNext w:val="0"/>
              <w:keepLines w:val="0"/>
              <w:pageBreakBefore w:val="0"/>
              <w:widowControl w:val="0"/>
              <w:kinsoku/>
              <w:wordWrap/>
              <w:overflowPunct/>
              <w:topLinePunct w:val="0"/>
              <w:autoSpaceDE/>
              <w:autoSpaceDN/>
              <w:bidi w:val="0"/>
              <w:adjustRightInd/>
              <w:snapToGrid/>
              <w:spacing w:line="960" w:lineRule="auto"/>
              <w:jc w:val="center"/>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9" w:type="dxa"/>
          </w:tcPr>
          <w:p>
            <w:pPr>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预制构件</w:t>
            </w:r>
          </w:p>
          <w:p>
            <w:pPr>
              <w:spacing w:line="240" w:lineRule="auto"/>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28"/>
                <w:szCs w:val="28"/>
                <w:lang w:val="en-US" w:eastAsia="zh-CN" w:bidi="ar-SA"/>
              </w:rPr>
              <w:t>（叠合板）</w:t>
            </w:r>
          </w:p>
        </w:tc>
        <w:tc>
          <w:tcPr>
            <w:tcW w:w="1509" w:type="dxa"/>
          </w:tcPr>
          <w:p>
            <w:pPr>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60㎜</w:t>
            </w:r>
          </w:p>
          <w:p>
            <w:pPr>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（C30）</w:t>
            </w:r>
          </w:p>
        </w:tc>
        <w:tc>
          <w:tcPr>
            <w:tcW w:w="1506" w:type="dxa"/>
          </w:tcPr>
          <w:p>
            <w:pPr>
              <w:jc w:val="center"/>
              <w:rPr>
                <w:rFonts w:hint="eastAsia" w:ascii="仿宋" w:hAnsi="仿宋" w:eastAsia="仿宋" w:cs="仿宋"/>
                <w:kern w:val="2"/>
                <w:sz w:val="32"/>
                <w:szCs w:val="32"/>
                <w:lang w:val="en-US" w:eastAsia="zh-CN" w:bidi="ar-SA"/>
              </w:rPr>
            </w:pPr>
          </w:p>
          <w:p>
            <w:pPr>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m³</w:t>
            </w:r>
          </w:p>
        </w:tc>
        <w:tc>
          <w:tcPr>
            <w:tcW w:w="1126" w:type="dxa"/>
          </w:tcPr>
          <w:p>
            <w:pPr>
              <w:jc w:val="center"/>
              <w:rPr>
                <w:rFonts w:hint="eastAsia" w:ascii="仿宋" w:hAnsi="仿宋" w:eastAsia="仿宋" w:cs="仿宋"/>
                <w:kern w:val="2"/>
                <w:sz w:val="32"/>
                <w:szCs w:val="32"/>
                <w:lang w:val="en-US" w:eastAsia="zh-CN" w:bidi="ar-SA"/>
              </w:rPr>
            </w:pPr>
          </w:p>
          <w:p>
            <w:pPr>
              <w:jc w:val="cente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3800</w:t>
            </w:r>
          </w:p>
        </w:tc>
        <w:tc>
          <w:tcPr>
            <w:tcW w:w="2123" w:type="dxa"/>
          </w:tcPr>
          <w:p>
            <w:pPr>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赣州市南康区赣粤产业合作区</w:t>
            </w:r>
          </w:p>
        </w:tc>
        <w:tc>
          <w:tcPr>
            <w:tcW w:w="1497" w:type="dxa"/>
          </w:tcPr>
          <w:p>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A</w:t>
            </w:r>
          </w:p>
        </w:tc>
        <w:tc>
          <w:tcPr>
            <w:tcW w:w="1260" w:type="dxa"/>
            <w:vAlign w:val="top"/>
          </w:tcPr>
          <w:p>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B</w:t>
            </w:r>
          </w:p>
        </w:tc>
        <w:tc>
          <w:tcPr>
            <w:tcW w:w="2055" w:type="dxa"/>
          </w:tcPr>
          <w:p>
            <w:pPr>
              <w:keepNext w:val="0"/>
              <w:keepLines w:val="0"/>
              <w:pageBreakBefore w:val="0"/>
              <w:widowControl w:val="0"/>
              <w:kinsoku/>
              <w:wordWrap/>
              <w:overflowPunct/>
              <w:topLinePunct w:val="0"/>
              <w:autoSpaceDE/>
              <w:autoSpaceDN/>
              <w:bidi w:val="0"/>
              <w:adjustRightInd/>
              <w:snapToGrid/>
              <w:spacing w:line="1200" w:lineRule="auto"/>
              <w:jc w:val="center"/>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C＝A-A*B</w:t>
            </w:r>
          </w:p>
        </w:tc>
        <w:tc>
          <w:tcPr>
            <w:tcW w:w="1583" w:type="dxa"/>
          </w:tcPr>
          <w:p>
            <w:pPr>
              <w:rPr>
                <w:rFonts w:hint="default" w:ascii="仿宋" w:hAnsi="仿宋" w:eastAsia="仿宋" w:cs="仿宋"/>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8" w:type="dxa"/>
            <w:gridSpan w:val="9"/>
          </w:tcPr>
          <w:p>
            <w:pP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备注：1、以上数据为计划采购数量，会根据实际情况进行调整。2、暂定采购期为三年期。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168" w:type="dxa"/>
            <w:gridSpan w:val="9"/>
            <w:vAlign w:val="top"/>
          </w:tcPr>
          <w:p>
            <w:pPr>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基准价A：以供货结算周期上月的赣建网赣州市场对应规格装配式预制构件信息价作为当月结算基准价，每月以上月21日至当月20日作为供货结算周期，按月办理结算，当月货款结算参考上月信息价（例如3月21日至4月20日供应的货款结算参考3月份的信息价）。其他说明：报价依据江西省赣建网赣州市场信息价叠合板钢筋含量141kg/立方信息价下浮报价，含钢量超过或低于141kg/立方时，单价依据《我的钢铁网》发布的赣州地区对应的萍钢HRB400E Φ10mm型钢筋当月平均单价上下幅调整。</w:t>
            </w:r>
          </w:p>
          <w:p>
            <w:pPr>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下浮率B:以基准价</w:t>
            </w:r>
            <w:bookmarkStart w:id="0" w:name="_GoBack"/>
            <w:bookmarkEnd w:id="0"/>
            <w:r>
              <w:rPr>
                <w:rFonts w:hint="eastAsia" w:ascii="仿宋" w:hAnsi="仿宋" w:eastAsia="仿宋" w:cs="仿宋"/>
                <w:sz w:val="24"/>
                <w:szCs w:val="24"/>
                <w:lang w:val="en-US" w:eastAsia="zh-CN"/>
              </w:rPr>
              <w:t>下浮百分比。</w:t>
            </w:r>
          </w:p>
          <w:p>
            <w:pPr>
              <w:pStyle w:val="2"/>
              <w:ind w:left="0" w:leftChars="0" w:firstLine="0" w:firstLineChars="0"/>
              <w:rPr>
                <w:rFonts w:hint="default"/>
                <w:lang w:val="en-US" w:eastAsia="zh-CN"/>
              </w:rPr>
            </w:pPr>
            <w:r>
              <w:rPr>
                <w:rFonts w:hint="eastAsia" w:ascii="仿宋" w:hAnsi="仿宋" w:eastAsia="仿宋" w:cs="仿宋"/>
                <w:sz w:val="24"/>
                <w:szCs w:val="24"/>
                <w:lang w:val="en-US" w:eastAsia="zh-CN"/>
              </w:rPr>
              <w:t>结算价C:基准价减去以基准价下浮百分比后的价格。</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ZWE5MjVhMDNmODBhZThlMmY0ZGViNDAzMzU5NjYifQ=="/>
  </w:docVars>
  <w:rsids>
    <w:rsidRoot w:val="44531715"/>
    <w:rsid w:val="06695E2D"/>
    <w:rsid w:val="31662A68"/>
    <w:rsid w:val="44531715"/>
    <w:rsid w:val="4D7E626A"/>
    <w:rsid w:val="5829466B"/>
    <w:rsid w:val="5AB53385"/>
    <w:rsid w:val="5DA16A52"/>
    <w:rsid w:val="7E0F2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semiHidden/>
    <w:qFormat/>
    <w:uiPriority w:val="0"/>
    <w:pPr>
      <w:widowControl w:val="0"/>
      <w:spacing w:line="240" w:lineRule="auto"/>
      <w:ind w:firstLine="420" w:firstLineChars="200"/>
      <w:jc w:val="both"/>
    </w:pPr>
    <w:rPr>
      <w:rFonts w:ascii="Times New Roman" w:hAnsi="Times New Roman" w:eastAsia="宋体" w:cs="Times New Roman"/>
      <w:kern w:val="2"/>
      <w:sz w:val="21"/>
      <w:szCs w:val="24"/>
      <w:lang w:val="en-US" w:eastAsia="zh-CN" w:bidi="ar-SA"/>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582</Words>
  <Characters>647</Characters>
  <Lines>0</Lines>
  <Paragraphs>0</Paragraphs>
  <TotalTime>5</TotalTime>
  <ScaleCrop>false</ScaleCrop>
  <LinksUpToDate>false</LinksUpToDate>
  <CharactersWithSpaces>648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2023-05-22T03:06:00Z</dcterms:created>
  <dc:creator>Administrator</dc:creator>
  <cp:lastModifiedBy>Administrator</cp:lastModifiedBy>
  <dcterms:modified xsi:type="dcterms:W3CDTF">2023-05-24T00:43:51Z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4638B0C64B0C4E249E8C6C0711E6DB5F_13</vt:lpwstr>
  </property>
</Properties>
</file>