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 w:cs="仿宋"/>
          <w:spacing w:val="20"/>
          <w:kern w:val="1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400" w:lineRule="exact"/>
        <w:jc w:val="left"/>
        <w:rPr>
          <w:rFonts w:hint="eastAsia" w:ascii="仿宋" w:hAnsi="仿宋" w:eastAsia="仿宋" w:cs="仿宋"/>
          <w:spacing w:val="20"/>
          <w:kern w:val="1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eastAsia" w:ascii="仿宋" w:hAnsi="仿宋" w:eastAsia="仿宋" w:cs="仿宋"/>
          <w:spacing w:val="20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kern w:val="10"/>
          <w:sz w:val="28"/>
          <w:szCs w:val="28"/>
          <w:lang w:val="en-US" w:eastAsia="zh-CN"/>
        </w:rPr>
        <w:t>附件一：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="仿宋" w:hAnsi="仿宋" w:eastAsia="仿宋" w:cs="仿宋"/>
          <w:spacing w:val="20"/>
          <w:kern w:val="1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20"/>
          <w:kern w:val="10"/>
          <w:sz w:val="36"/>
          <w:szCs w:val="36"/>
          <w:lang w:val="en-US" w:eastAsia="zh-CN"/>
        </w:rPr>
        <w:t>报价单</w:t>
      </w:r>
    </w:p>
    <w:tbl>
      <w:tblPr>
        <w:tblStyle w:val="4"/>
        <w:tblpPr w:leftFromText="180" w:rightFromText="180" w:vertAnchor="text" w:horzAnchor="page" w:tblpX="2040" w:tblpY="589"/>
        <w:tblOverlap w:val="never"/>
        <w:tblW w:w="49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365"/>
        <w:gridCol w:w="273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产品名称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/>
              </w:rPr>
            </w:pP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报价栏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河砂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混合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料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u w:val="single"/>
                <w:lang w:val="en-US" w:eastAsia="zh-CN"/>
              </w:rPr>
              <w:t xml:space="preserve"> 48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元/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元/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注：报价即视为默认以上条款。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报价加价基数为0.5元/立方米的整倍数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不能低于0.5元/立方米。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联系电话：            报价公司（盖章）：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