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附件二：报价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875"/>
        <w:gridCol w:w="1944"/>
        <w:gridCol w:w="931"/>
        <w:gridCol w:w="916"/>
        <w:gridCol w:w="1000"/>
        <w:gridCol w:w="1542"/>
        <w:gridCol w:w="1361"/>
        <w:gridCol w:w="642"/>
        <w:gridCol w:w="1282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货物名称</w:t>
            </w:r>
          </w:p>
        </w:tc>
        <w:tc>
          <w:tcPr>
            <w:tcW w:w="9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规格型号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计量单位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（含税价）</w:t>
            </w:r>
          </w:p>
        </w:tc>
        <w:tc>
          <w:tcPr>
            <w:tcW w:w="49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报价栏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93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含税单价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  <w:t>元/</w:t>
            </w: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m³</w:t>
            </w:r>
          </w:p>
        </w:tc>
        <w:tc>
          <w:tcPr>
            <w:tcW w:w="6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税率</w:t>
            </w:r>
          </w:p>
        </w:tc>
        <w:tc>
          <w:tcPr>
            <w:tcW w:w="12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含税总价元</w:t>
            </w:r>
          </w:p>
        </w:tc>
        <w:tc>
          <w:tcPr>
            <w:tcW w:w="16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lang w:val="en-US" w:eastAsia="zh-CN" w:bidi="ar-SA"/>
              </w:rPr>
              <w:t>不含税总价元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漫谷数创园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叠合板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C30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6440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2278.4元/m³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13%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楼梯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C30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560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2278.4元/m³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13%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ALC内隔墙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C30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14000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435元/m³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13%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1417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"/>
                <w:szCs w:val="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格力小学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叠合板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C30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1380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2278.4元/m³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13%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楼梯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C30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2278.4元/m³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13%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ALC内隔墙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C30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435元/m³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13%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</w:trPr>
        <w:tc>
          <w:tcPr>
            <w:tcW w:w="1417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4"/>
                <w:szCs w:val="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幸福小学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叠合板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C30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1380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2278.4元/m³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13%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楼梯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C30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2278.4元/m³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13%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0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ALC内隔墙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C30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m³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435元/m³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13%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4174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562" w:firstLineChars="2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28"/>
                <w:szCs w:val="28"/>
                <w:lang w:val="en-US" w:eastAsia="zh-CN" w:bidi="ar-SA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562" w:firstLineChars="2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28"/>
                <w:szCs w:val="28"/>
                <w:lang w:val="en-US" w:eastAsia="zh-CN" w:bidi="ar-SA"/>
              </w:rPr>
              <w:t>1.表中产品的采购数量为暂定数量，最终结算数量以双方确认的供货数量为准；表中单价为含税综合单价，为预制构件运至工程地点或合同约定地点的交货价格，包括制造、运输、保险、税费、等相关费用但不包含二次转运费用。除非因甲方原因发生重大工艺、技术改变，合同价格不再进行调整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562" w:firstLineChars="2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  <w:t>2.报价栏含税单价应低于控制价方为有效报价。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562" w:firstLineChars="200"/>
              <w:jc w:val="right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28"/>
                <w:szCs w:val="28"/>
                <w:lang w:val="en-US" w:eastAsia="zh-CN"/>
              </w:rPr>
              <w:t xml:space="preserve">报价单位（加盖公章）：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kern w:val="0"/>
                <w:sz w:val="28"/>
                <w:szCs w:val="28"/>
                <w:lang w:val="en-US" w:eastAsia="zh-CN" w:bidi="ar-SA"/>
              </w:rPr>
              <w:t xml:space="preserve">报价日期：     年     月     日                 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jAwNzgwOWI5Mzc3ZDRhN2E2NGNiYzMzZWU0NjIifQ=="/>
  </w:docVars>
  <w:rsids>
    <w:rsidRoot w:val="3A0E5E9A"/>
    <w:rsid w:val="3A0E5E9A"/>
    <w:rsid w:val="56D14F84"/>
    <w:rsid w:val="59BD1219"/>
    <w:rsid w:val="5D0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2024-06-13T01:56:00Z</dcterms:created>
  <dc:creator>下完这场雨</dc:creator>
  <cp:lastModifiedBy>下完这场雨</cp:lastModifiedBy>
  <dcterms:modified xsi:type="dcterms:W3CDTF">2024-10-23T06:55:34Z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ED2043D31C3F4E848530D69C27610201_13</vt:lpwstr>
  </property>
</Properties>
</file>