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208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vertAlign w:val="baseli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val="en-US" w:eastAsia="zh-CN"/>
        </w:rPr>
        <w:t>附件</w:t>
      </w:r>
      <w:r>
        <w:rPr>
          <w:rFonts w:hint="eastAsia" w:eastAsia="宋体" w:cs="宋体"/>
          <w:color w:val="auto"/>
          <w:sz w:val="28"/>
          <w:szCs w:val="28"/>
          <w:highlight w:val="none"/>
          <w:vertAlign w:val="baseli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val="en-US" w:eastAsia="zh-CN"/>
        </w:rPr>
        <w:t>：</w:t>
      </w:r>
      <w:r>
        <w:rPr>
          <w:rFonts w:hint="eastAsia" w:eastAsia="宋体" w:cs="宋体"/>
          <w:color w:val="auto"/>
          <w:sz w:val="28"/>
          <w:szCs w:val="28"/>
          <w:highlight w:val="none"/>
          <w:vertAlign w:val="baseline"/>
          <w:lang w:val="en-US" w:eastAsia="zh-CN"/>
        </w:rPr>
        <w:t>评分标准</w:t>
      </w:r>
    </w:p>
    <w:bookmarkEnd w:id="0"/>
    <w:p w14:paraId="39B74778">
      <w:pPr>
        <w:spacing w:line="500" w:lineRule="exact"/>
        <w:ind w:firstLine="540" w:firstLineChars="200"/>
        <w:rPr>
          <w:rFonts w:hint="eastAsia" w:ascii="宋体" w:hAnsi="宋体"/>
          <w:color w:val="auto"/>
          <w:sz w:val="27"/>
          <w:szCs w:val="27"/>
          <w:highlight w:val="none"/>
        </w:rPr>
      </w:pPr>
      <w:r>
        <w:rPr>
          <w:rFonts w:hint="eastAsia" w:ascii="宋体" w:hAnsi="宋体"/>
          <w:color w:val="auto"/>
          <w:sz w:val="27"/>
          <w:szCs w:val="27"/>
          <w:highlight w:val="none"/>
          <w:lang w:val="en-US" w:eastAsia="zh-CN"/>
        </w:rPr>
        <w:t>运输、泵送服务</w:t>
      </w:r>
      <w:r>
        <w:rPr>
          <w:rFonts w:hint="eastAsia" w:ascii="宋体" w:hAnsi="宋体"/>
          <w:color w:val="auto"/>
          <w:sz w:val="27"/>
          <w:szCs w:val="27"/>
          <w:highlight w:val="none"/>
        </w:rPr>
        <w:t>：</w:t>
      </w:r>
    </w:p>
    <w:tbl>
      <w:tblPr>
        <w:tblStyle w:val="4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9016"/>
      </w:tblGrid>
      <w:tr w14:paraId="3C46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2A828">
            <w:pPr>
              <w:spacing w:line="360" w:lineRule="auto"/>
              <w:jc w:val="center"/>
              <w:rPr>
                <w:rFonts w:ascii="宋体" w:hAnsi="宋体"/>
                <w:color w:val="auto"/>
                <w:sz w:val="27"/>
                <w:szCs w:val="27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</w:rPr>
              <w:t>价格分</w:t>
            </w:r>
          </w:p>
          <w:p w14:paraId="2A5D3E27">
            <w:pPr>
              <w:spacing w:line="360" w:lineRule="auto"/>
              <w:jc w:val="center"/>
              <w:rPr>
                <w:rFonts w:ascii="宋体" w:hAnsi="宋体"/>
                <w:color w:val="auto"/>
                <w:sz w:val="27"/>
                <w:szCs w:val="27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</w:rPr>
              <w:t>（50分）</w:t>
            </w:r>
          </w:p>
        </w:tc>
        <w:tc>
          <w:tcPr>
            <w:tcW w:w="90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8FC08B5">
            <w:pPr>
              <w:spacing w:line="360" w:lineRule="auto"/>
              <w:rPr>
                <w:rFonts w:ascii="新宋体" w:hAnsi="新宋体" w:eastAsia="新宋体"/>
                <w:color w:val="auto"/>
                <w:sz w:val="27"/>
                <w:szCs w:val="27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价格分的计算</w:t>
            </w:r>
          </w:p>
          <w:p w14:paraId="61C01806">
            <w:pPr>
              <w:spacing w:line="360" w:lineRule="auto"/>
              <w:rPr>
                <w:rFonts w:ascii="新宋体" w:hAnsi="新宋体" w:eastAsia="新宋体"/>
                <w:color w:val="auto"/>
                <w:sz w:val="27"/>
                <w:szCs w:val="27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响应报价得分=(评标基准价／响应报价)×50%×100</w:t>
            </w:r>
          </w:p>
          <w:p w14:paraId="6F70BECD">
            <w:pPr>
              <w:spacing w:line="360" w:lineRule="auto"/>
              <w:rPr>
                <w:rFonts w:ascii="新宋体" w:hAnsi="新宋体" w:eastAsia="新宋体"/>
                <w:color w:val="auto"/>
                <w:sz w:val="27"/>
                <w:szCs w:val="27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满足征集文件要求且响应报价最低的响应报价为评标基准价，其价格分为满分。</w:t>
            </w:r>
          </w:p>
        </w:tc>
      </w:tr>
      <w:tr w14:paraId="3054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A3E4E3">
            <w:pPr>
              <w:spacing w:line="360" w:lineRule="auto"/>
              <w:jc w:val="center"/>
              <w:rPr>
                <w:rFonts w:ascii="宋体" w:hAnsi="宋体"/>
                <w:color w:val="auto"/>
                <w:sz w:val="27"/>
                <w:szCs w:val="27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</w:rPr>
              <w:t>技术分</w:t>
            </w:r>
          </w:p>
          <w:p w14:paraId="46E2E66F">
            <w:pPr>
              <w:spacing w:line="360" w:lineRule="auto"/>
              <w:jc w:val="center"/>
              <w:rPr>
                <w:rFonts w:ascii="宋体" w:hAnsi="宋体"/>
                <w:color w:val="auto"/>
                <w:sz w:val="27"/>
                <w:szCs w:val="27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</w:rPr>
              <w:t>（45分）</w:t>
            </w:r>
          </w:p>
        </w:tc>
        <w:tc>
          <w:tcPr>
            <w:tcW w:w="9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934E265">
            <w:pPr>
              <w:spacing w:line="360" w:lineRule="auto"/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（一）项目实施方案（10分）：根据</w:t>
            </w: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</w:rPr>
              <w:t>响应</w:t>
            </w: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  <w:lang w:eastAsia="zh-CN"/>
              </w:rPr>
              <w:t>承运人</w:t>
            </w: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提供的项目实施方案的合理性、可行性进行打分，项目实施方案明确且合理者得10分，项目实施方案明确但不合理或者不明确但合理者得6分，项目实施方案一般者得3分，未提供方案或方案不具备可操作性者得0分。</w:t>
            </w:r>
          </w:p>
          <w:p w14:paraId="4711EB75">
            <w:pPr>
              <w:spacing w:line="360" w:lineRule="auto"/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（二）人员安排及岗位职责方案（5分）：根据</w:t>
            </w: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</w:rPr>
              <w:t>响应</w:t>
            </w: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  <w:lang w:eastAsia="zh-CN"/>
              </w:rPr>
              <w:t>承运人</w:t>
            </w: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针对本项目提供的人员安排及岗位职责方案进行打分，方案框架结构清晰，体系完善，对本项目需求解读准确且思路明确，切合现场实际情况者得5分；方案框架结构比较清晰，体系比较完善，对本项目需求解读准确且思路比较明确，切合现场实际情况者得2分；方案框架结构一般，对本项目需求解读准确且思路一般者得1分，无此方案或方案不具备可操作性者得0分。</w:t>
            </w:r>
          </w:p>
          <w:p w14:paraId="3C0D6A53">
            <w:pPr>
              <w:spacing w:line="360" w:lineRule="auto"/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（三）安全保障措施（10分）：根据</w:t>
            </w: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</w:rPr>
              <w:t>响应</w:t>
            </w: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  <w:lang w:eastAsia="zh-CN"/>
              </w:rPr>
              <w:t>承运人</w:t>
            </w: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针对本项目提供的安全保障措施（包含但不限于文明运输、安全运输、人员安全保护等措施）进行打分，安全保障措施明确且合理者得10分；安全保障措施明确但不合理或者不明确但合理者得6分；安全保障措施一般者得3分；无此内容或内容不具备可操作性者得0分。</w:t>
            </w:r>
          </w:p>
          <w:p w14:paraId="276F9610">
            <w:pPr>
              <w:spacing w:line="360" w:lineRule="auto"/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（四）质量保障措施方案（10分）：</w:t>
            </w:r>
            <w:r>
              <w:rPr>
                <w:rFonts w:ascii="新宋体" w:hAnsi="新宋体" w:eastAsia="新宋体"/>
                <w:color w:val="auto"/>
                <w:sz w:val="27"/>
                <w:szCs w:val="27"/>
                <w:highlight w:val="none"/>
              </w:rPr>
              <w:t>根据</w:t>
            </w: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</w:rPr>
              <w:t>响应</w:t>
            </w: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  <w:lang w:eastAsia="zh-CN"/>
              </w:rPr>
              <w:t>承运人</w:t>
            </w: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针对本项目</w:t>
            </w:r>
            <w:r>
              <w:rPr>
                <w:rFonts w:ascii="新宋体" w:hAnsi="新宋体" w:eastAsia="新宋体"/>
                <w:color w:val="auto"/>
                <w:sz w:val="27"/>
                <w:szCs w:val="27"/>
                <w:highlight w:val="none"/>
              </w:rPr>
              <w:t>提供的</w:t>
            </w: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质量保障措施方案进行打分，方案明确且合理者得10分；方案明确但不合理或者不明确但合理者得6分；方案一般者得3分；无此内容或内容不具备可操作性者得0分。</w:t>
            </w:r>
          </w:p>
          <w:p w14:paraId="544A5BFB">
            <w:pPr>
              <w:spacing w:line="360" w:lineRule="auto"/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（五）紧急情况的处理措施及应急预案（5分）：根据</w:t>
            </w: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</w:rPr>
              <w:t>响应</w:t>
            </w: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  <w:lang w:eastAsia="zh-CN"/>
              </w:rPr>
              <w:t>承运人</w:t>
            </w: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针对本项目提供的紧急情况的处理措施及应急预案进行打分，方案明确且合理者得5分；方案明确但不合理或者不明确但合理者得2分；方案一般者得1分；无此内容或内容不具备可操作性者得0分。</w:t>
            </w:r>
          </w:p>
          <w:p w14:paraId="7681BFF3">
            <w:pPr>
              <w:spacing w:line="360" w:lineRule="auto"/>
              <w:rPr>
                <w:rFonts w:ascii="新宋体" w:hAnsi="新宋体" w:eastAsia="新宋体"/>
                <w:color w:val="auto"/>
                <w:sz w:val="27"/>
                <w:szCs w:val="27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（六）成功案例</w:t>
            </w:r>
            <w:r>
              <w:rPr>
                <w:rFonts w:ascii="新宋体" w:hAnsi="新宋体" w:eastAsia="新宋体"/>
                <w:color w:val="auto"/>
                <w:sz w:val="27"/>
                <w:szCs w:val="27"/>
                <w:highlight w:val="none"/>
              </w:rPr>
              <w:t>（</w:t>
            </w: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5</w:t>
            </w:r>
            <w:r>
              <w:rPr>
                <w:rFonts w:ascii="新宋体" w:hAnsi="新宋体" w:eastAsia="新宋体"/>
                <w:color w:val="auto"/>
                <w:sz w:val="27"/>
                <w:szCs w:val="27"/>
                <w:highlight w:val="none"/>
              </w:rPr>
              <w:t>分）：</w:t>
            </w: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</w:rPr>
              <w:t>响应</w:t>
            </w: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  <w:lang w:eastAsia="zh-CN"/>
              </w:rPr>
              <w:t>承运人</w:t>
            </w:r>
            <w:r>
              <w:rPr>
                <w:rFonts w:ascii="新宋体" w:hAnsi="新宋体" w:eastAsia="新宋体"/>
                <w:color w:val="auto"/>
                <w:sz w:val="27"/>
                <w:szCs w:val="27"/>
                <w:highlight w:val="none"/>
              </w:rPr>
              <w:t>在</w:t>
            </w: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2022年01月01日起</w:t>
            </w:r>
            <w:r>
              <w:rPr>
                <w:rFonts w:ascii="新宋体" w:hAnsi="新宋体" w:eastAsia="新宋体"/>
                <w:color w:val="auto"/>
                <w:sz w:val="27"/>
                <w:szCs w:val="27"/>
                <w:highlight w:val="none"/>
              </w:rPr>
              <w:t>截止到开标时间前）（以签订合同时间为准）承担过同类项目者，每提供1份得</w:t>
            </w: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1</w:t>
            </w:r>
            <w:r>
              <w:rPr>
                <w:rFonts w:ascii="新宋体" w:hAnsi="新宋体" w:eastAsia="新宋体"/>
                <w:color w:val="auto"/>
                <w:sz w:val="27"/>
                <w:szCs w:val="27"/>
                <w:highlight w:val="none"/>
              </w:rPr>
              <w:t>分，以此类推，最高得</w:t>
            </w: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5</w:t>
            </w:r>
            <w:r>
              <w:rPr>
                <w:rFonts w:ascii="新宋体" w:hAnsi="新宋体" w:eastAsia="新宋体"/>
                <w:color w:val="auto"/>
                <w:sz w:val="27"/>
                <w:szCs w:val="27"/>
                <w:highlight w:val="none"/>
              </w:rPr>
              <w:t>分，其他得0分。（提供合同</w:t>
            </w: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复印件</w:t>
            </w:r>
            <w:r>
              <w:rPr>
                <w:rFonts w:ascii="新宋体" w:hAnsi="新宋体" w:eastAsia="新宋体"/>
                <w:color w:val="auto"/>
                <w:sz w:val="27"/>
                <w:szCs w:val="27"/>
                <w:highlight w:val="none"/>
              </w:rPr>
              <w:t>并加盖</w:t>
            </w: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</w:rPr>
              <w:t>响应</w:t>
            </w: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  <w:lang w:eastAsia="zh-CN"/>
              </w:rPr>
              <w:t>承运人</w:t>
            </w:r>
            <w:r>
              <w:rPr>
                <w:rFonts w:ascii="新宋体" w:hAnsi="新宋体" w:eastAsia="新宋体"/>
                <w:color w:val="auto"/>
                <w:sz w:val="27"/>
                <w:szCs w:val="27"/>
                <w:highlight w:val="none"/>
              </w:rPr>
              <w:t>公章，未提供或提供无效者得0分）</w:t>
            </w:r>
          </w:p>
        </w:tc>
      </w:tr>
      <w:tr w14:paraId="3281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028EB5C">
            <w:pPr>
              <w:spacing w:line="360" w:lineRule="auto"/>
              <w:jc w:val="center"/>
              <w:rPr>
                <w:rFonts w:ascii="宋体" w:hAnsi="宋体"/>
                <w:color w:val="auto"/>
                <w:sz w:val="27"/>
                <w:szCs w:val="27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</w:rPr>
              <w:t>商务分（5分）</w:t>
            </w:r>
          </w:p>
        </w:tc>
        <w:tc>
          <w:tcPr>
            <w:tcW w:w="90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38F23">
            <w:pPr>
              <w:spacing w:line="360" w:lineRule="auto"/>
              <w:rPr>
                <w:rFonts w:ascii="宋体" w:hAnsi="宋体" w:cs="宋体"/>
                <w:color w:val="auto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7"/>
                <w:szCs w:val="27"/>
                <w:highlight w:val="none"/>
              </w:rPr>
              <w:t>（一）</w:t>
            </w: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后续服务承诺（5分）：响应</w:t>
            </w: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  <w:lang w:eastAsia="zh-CN"/>
              </w:rPr>
              <w:t>承运人</w:t>
            </w: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承诺提供服务质量保障措施和后续服务（采购人要求以外的服务）承诺者得5分，其他得0分。（响应文件正本中提供承诺函原件并加盖</w:t>
            </w: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</w:rPr>
              <w:t>响应</w:t>
            </w:r>
            <w:r>
              <w:rPr>
                <w:rFonts w:hint="eastAsia" w:ascii="宋体" w:hAnsi="宋体"/>
                <w:color w:val="auto"/>
                <w:sz w:val="27"/>
                <w:szCs w:val="27"/>
                <w:highlight w:val="none"/>
                <w:lang w:eastAsia="zh-CN"/>
              </w:rPr>
              <w:t>承运人</w:t>
            </w:r>
            <w:r>
              <w:rPr>
                <w:rFonts w:hint="eastAsia" w:ascii="新宋体" w:hAnsi="新宋体" w:eastAsia="新宋体"/>
                <w:color w:val="auto"/>
                <w:sz w:val="27"/>
                <w:szCs w:val="27"/>
                <w:highlight w:val="none"/>
              </w:rPr>
              <w:t>公章，未提供或提供无效者得0分。）</w:t>
            </w:r>
          </w:p>
        </w:tc>
      </w:tr>
    </w:tbl>
    <w:p w14:paraId="2414C3B2">
      <w:pPr>
        <w:pStyle w:val="2"/>
        <w:ind w:left="0" w:leftChars="0" w:firstLine="0" w:firstLineChars="0"/>
        <w:jc w:val="left"/>
        <w:rPr>
          <w:rFonts w:hint="eastAsia" w:ascii="宋体" w:hAnsi="宋体" w:cs="仿宋"/>
          <w:color w:val="auto"/>
          <w:sz w:val="27"/>
          <w:szCs w:val="27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13213F7"/>
    <w:rsid w:val="02BE73D0"/>
    <w:rsid w:val="03991DF6"/>
    <w:rsid w:val="04DD5D12"/>
    <w:rsid w:val="0A1B460D"/>
    <w:rsid w:val="0BB974D9"/>
    <w:rsid w:val="0C667802"/>
    <w:rsid w:val="0D2D5E34"/>
    <w:rsid w:val="0D822EDA"/>
    <w:rsid w:val="12763899"/>
    <w:rsid w:val="14D53506"/>
    <w:rsid w:val="180B0C4C"/>
    <w:rsid w:val="189A6437"/>
    <w:rsid w:val="19CE31F9"/>
    <w:rsid w:val="1A5E6904"/>
    <w:rsid w:val="1E3D4567"/>
    <w:rsid w:val="1F8F04EA"/>
    <w:rsid w:val="1FF42BB6"/>
    <w:rsid w:val="22FB5944"/>
    <w:rsid w:val="265B759B"/>
    <w:rsid w:val="27831642"/>
    <w:rsid w:val="2C0C0C69"/>
    <w:rsid w:val="32DA0E75"/>
    <w:rsid w:val="33343504"/>
    <w:rsid w:val="38FF1464"/>
    <w:rsid w:val="3A2D1F21"/>
    <w:rsid w:val="3AF456EB"/>
    <w:rsid w:val="3C3025F0"/>
    <w:rsid w:val="3D587705"/>
    <w:rsid w:val="3E3F0318"/>
    <w:rsid w:val="43C60D4A"/>
    <w:rsid w:val="44BF711B"/>
    <w:rsid w:val="475E6263"/>
    <w:rsid w:val="484C34EE"/>
    <w:rsid w:val="4B321EE0"/>
    <w:rsid w:val="4BB072A9"/>
    <w:rsid w:val="4BB23ED9"/>
    <w:rsid w:val="4BDB2E9B"/>
    <w:rsid w:val="4D1D67F6"/>
    <w:rsid w:val="4D8D126B"/>
    <w:rsid w:val="505179D5"/>
    <w:rsid w:val="50B04857"/>
    <w:rsid w:val="52415396"/>
    <w:rsid w:val="524F4876"/>
    <w:rsid w:val="55AB4F25"/>
    <w:rsid w:val="578F4217"/>
    <w:rsid w:val="57992641"/>
    <w:rsid w:val="58762D79"/>
    <w:rsid w:val="589F6502"/>
    <w:rsid w:val="5A7E7705"/>
    <w:rsid w:val="5C0C6A4C"/>
    <w:rsid w:val="5D1E42D6"/>
    <w:rsid w:val="604B6A88"/>
    <w:rsid w:val="60C9280D"/>
    <w:rsid w:val="618B12FC"/>
    <w:rsid w:val="673B1CDC"/>
    <w:rsid w:val="684243BB"/>
    <w:rsid w:val="69877444"/>
    <w:rsid w:val="6B5F203D"/>
    <w:rsid w:val="6D1201FF"/>
    <w:rsid w:val="70E1438C"/>
    <w:rsid w:val="72E06C6B"/>
    <w:rsid w:val="747534C9"/>
    <w:rsid w:val="757A1C0A"/>
    <w:rsid w:val="76C27213"/>
    <w:rsid w:val="78B1524F"/>
    <w:rsid w:val="795C0447"/>
    <w:rsid w:val="7FC4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3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1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single"/>
    </w:rPr>
  </w:style>
  <w:style w:type="character" w:customStyle="1" w:styleId="12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3">
    <w:name w:val="font6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2736</Words>
  <Characters>2829</Characters>
  <Lines>0</Lines>
  <Paragraphs>0</Paragraphs>
  <TotalTime>4</TotalTime>
  <ScaleCrop>false</ScaleCrop>
  <LinksUpToDate>false</LinksUpToDate>
  <CharactersWithSpaces>2842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2023-04-23T07:01:00Z</dcterms:created>
  <dc:creator>dell</dc:creator>
  <cp:lastModifiedBy>Ankh</cp:lastModifiedBy>
  <dcterms:modified xsi:type="dcterms:W3CDTF">2024-12-12T01:13:33Z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E24E5257855740D89F7B9E4215C5A293_13</vt:lpwstr>
  </property>
</Properties>
</file>