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D450">
      <w:pPr>
        <w:rPr>
          <w:rFonts w:hint="default"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附件</w:t>
      </w:r>
      <w:r>
        <w:rPr>
          <w:rFonts w:hint="eastAsia" w:eastAsia="宋体" w:cs="宋体"/>
          <w:color w:val="auto"/>
          <w:sz w:val="28"/>
          <w:szCs w:val="28"/>
          <w:highlight w:val="none"/>
          <w:vertAlign w:val="baseline"/>
          <w:lang w:val="en-US" w:eastAsia="zh-CN"/>
        </w:rPr>
        <w:t>三</w:t>
      </w:r>
      <w:r>
        <w:rPr>
          <w:rFonts w:hint="eastAsia" w:ascii="宋体" w:hAnsi="宋体" w:eastAsia="宋体" w:cs="宋体"/>
          <w:color w:val="auto"/>
          <w:sz w:val="28"/>
          <w:szCs w:val="28"/>
          <w:highlight w:val="none"/>
          <w:vertAlign w:val="baseline"/>
          <w:lang w:val="en-US" w:eastAsia="zh-CN"/>
        </w:rPr>
        <w:t>：</w:t>
      </w:r>
      <w:r>
        <w:rPr>
          <w:rFonts w:hint="eastAsia" w:eastAsia="宋体" w:cs="宋体"/>
          <w:color w:val="auto"/>
          <w:sz w:val="28"/>
          <w:szCs w:val="28"/>
          <w:highlight w:val="none"/>
          <w:vertAlign w:val="baseline"/>
          <w:lang w:val="en-US" w:eastAsia="zh-CN"/>
        </w:rPr>
        <w:t>评分标准</w:t>
      </w:r>
    </w:p>
    <w:p w14:paraId="0F68D482">
      <w:pPr>
        <w:spacing w:line="500" w:lineRule="exact"/>
        <w:rPr>
          <w:rFonts w:hint="eastAsia" w:ascii="宋体" w:hAnsi="宋体" w:cs="宋体"/>
          <w:color w:val="auto"/>
          <w:kern w:val="0"/>
          <w:sz w:val="27"/>
          <w:szCs w:val="27"/>
          <w:highlight w:val="none"/>
        </w:rPr>
      </w:pPr>
      <w:bookmarkStart w:id="0" w:name="_GoBack"/>
      <w:bookmarkEnd w:id="0"/>
      <w:r>
        <w:rPr>
          <w:rFonts w:hint="eastAsia" w:ascii="宋体" w:hAnsi="宋体" w:cs="宋体"/>
          <w:color w:val="auto"/>
          <w:kern w:val="0"/>
          <w:sz w:val="27"/>
          <w:szCs w:val="27"/>
          <w:highlight w:val="none"/>
          <w:lang w:val="en-US" w:eastAsia="zh-CN"/>
        </w:rPr>
        <w:t>碎石</w:t>
      </w:r>
      <w:r>
        <w:rPr>
          <w:rFonts w:hint="eastAsia" w:ascii="宋体" w:hAnsi="宋体" w:cs="宋体"/>
          <w:color w:val="auto"/>
          <w:kern w:val="0"/>
          <w:sz w:val="27"/>
          <w:szCs w:val="27"/>
          <w:highlight w:val="none"/>
        </w:rPr>
        <w:t>、</w:t>
      </w:r>
      <w:r>
        <w:rPr>
          <w:rFonts w:hint="eastAsia" w:ascii="宋体" w:hAnsi="宋体" w:cs="宋体"/>
          <w:color w:val="auto"/>
          <w:kern w:val="0"/>
          <w:sz w:val="27"/>
          <w:szCs w:val="27"/>
          <w:highlight w:val="none"/>
          <w:lang w:val="en-US" w:eastAsia="zh-CN"/>
        </w:rPr>
        <w:t>机制砂</w:t>
      </w:r>
      <w:r>
        <w:rPr>
          <w:rFonts w:hint="eastAsia" w:ascii="宋体" w:hAnsi="宋体" w:cs="宋体"/>
          <w:color w:val="auto"/>
          <w:kern w:val="0"/>
          <w:sz w:val="27"/>
          <w:szCs w:val="27"/>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65"/>
        <w:gridCol w:w="9038"/>
      </w:tblGrid>
      <w:tr w14:paraId="2DA4E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65" w:type="dxa"/>
            <w:tcBorders>
              <w:top w:val="single" w:color="auto" w:sz="4" w:space="0"/>
              <w:left w:val="single" w:color="auto" w:sz="4" w:space="0"/>
              <w:bottom w:val="single" w:color="auto" w:sz="6" w:space="0"/>
              <w:right w:val="single" w:color="auto" w:sz="6" w:space="0"/>
            </w:tcBorders>
            <w:noWrap w:val="0"/>
            <w:vAlign w:val="center"/>
          </w:tcPr>
          <w:p w14:paraId="116A74CD">
            <w:pPr>
              <w:spacing w:line="360" w:lineRule="auto"/>
              <w:jc w:val="center"/>
              <w:rPr>
                <w:rFonts w:ascii="宋体" w:hAnsi="宋体"/>
                <w:color w:val="auto"/>
                <w:sz w:val="27"/>
                <w:szCs w:val="27"/>
                <w:highlight w:val="none"/>
              </w:rPr>
            </w:pPr>
            <w:r>
              <w:rPr>
                <w:rFonts w:hint="eastAsia" w:ascii="宋体" w:hAnsi="宋体"/>
                <w:color w:val="auto"/>
                <w:sz w:val="27"/>
                <w:szCs w:val="27"/>
                <w:highlight w:val="none"/>
              </w:rPr>
              <w:t>价格分</w:t>
            </w:r>
          </w:p>
          <w:p w14:paraId="119B238F">
            <w:pPr>
              <w:spacing w:line="360" w:lineRule="auto"/>
              <w:jc w:val="center"/>
              <w:rPr>
                <w:rFonts w:ascii="宋体" w:hAnsi="宋体"/>
                <w:color w:val="auto"/>
                <w:sz w:val="27"/>
                <w:szCs w:val="27"/>
                <w:highlight w:val="none"/>
              </w:rPr>
            </w:pPr>
            <w:r>
              <w:rPr>
                <w:rFonts w:hint="eastAsia" w:ascii="宋体" w:hAnsi="宋体"/>
                <w:color w:val="auto"/>
                <w:sz w:val="27"/>
                <w:szCs w:val="27"/>
                <w:highlight w:val="none"/>
              </w:rPr>
              <w:t>（60分）</w:t>
            </w:r>
          </w:p>
        </w:tc>
        <w:tc>
          <w:tcPr>
            <w:tcW w:w="9038" w:type="dxa"/>
            <w:tcBorders>
              <w:top w:val="single" w:color="auto" w:sz="4" w:space="0"/>
              <w:left w:val="single" w:color="auto" w:sz="6" w:space="0"/>
              <w:bottom w:val="single" w:color="auto" w:sz="6" w:space="0"/>
              <w:right w:val="single" w:color="auto" w:sz="4" w:space="0"/>
            </w:tcBorders>
            <w:noWrap w:val="0"/>
            <w:vAlign w:val="top"/>
          </w:tcPr>
          <w:p w14:paraId="10EF2D19">
            <w:pPr>
              <w:spacing w:line="360" w:lineRule="auto"/>
              <w:rPr>
                <w:rFonts w:hint="eastAsia" w:ascii="宋体" w:hAnsi="宋体"/>
                <w:color w:val="auto"/>
                <w:sz w:val="27"/>
                <w:szCs w:val="27"/>
                <w:highlight w:val="none"/>
              </w:rPr>
            </w:pPr>
            <w:r>
              <w:rPr>
                <w:rFonts w:hint="eastAsia" w:ascii="宋体" w:hAnsi="宋体"/>
                <w:color w:val="auto"/>
                <w:sz w:val="27"/>
                <w:szCs w:val="27"/>
                <w:highlight w:val="none"/>
              </w:rPr>
              <w:t>价格分的计算</w:t>
            </w:r>
          </w:p>
          <w:p w14:paraId="3D03F1B4">
            <w:pPr>
              <w:spacing w:line="360" w:lineRule="auto"/>
              <w:rPr>
                <w:rFonts w:hint="eastAsia" w:ascii="宋体" w:hAnsi="宋体"/>
                <w:color w:val="auto"/>
                <w:sz w:val="27"/>
                <w:szCs w:val="27"/>
                <w:highlight w:val="none"/>
              </w:rPr>
            </w:pPr>
            <w:r>
              <w:rPr>
                <w:rFonts w:hint="eastAsia" w:ascii="宋体" w:hAnsi="宋体"/>
                <w:color w:val="auto"/>
                <w:sz w:val="27"/>
                <w:szCs w:val="27"/>
                <w:highlight w:val="none"/>
              </w:rPr>
              <w:t>响应报价得分=(评标基准价／响应报价)×60%×100</w:t>
            </w:r>
          </w:p>
          <w:p w14:paraId="73B4A5FE">
            <w:pPr>
              <w:spacing w:line="360" w:lineRule="auto"/>
              <w:rPr>
                <w:rFonts w:ascii="宋体" w:hAnsi="宋体" w:cs="宋体"/>
                <w:color w:val="auto"/>
                <w:kern w:val="0"/>
                <w:sz w:val="27"/>
                <w:szCs w:val="27"/>
                <w:highlight w:val="none"/>
              </w:rPr>
            </w:pPr>
            <w:r>
              <w:rPr>
                <w:rFonts w:hint="eastAsia" w:ascii="宋体" w:hAnsi="宋体"/>
                <w:color w:val="auto"/>
                <w:sz w:val="27"/>
                <w:szCs w:val="27"/>
                <w:highlight w:val="none"/>
              </w:rPr>
              <w:t>满足征集文件要求，且响应价格最低的响应报价为评标基准价，其价格分为满分。</w:t>
            </w:r>
          </w:p>
        </w:tc>
      </w:tr>
      <w:tr w14:paraId="04191B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465" w:type="dxa"/>
            <w:tcBorders>
              <w:top w:val="single" w:color="auto" w:sz="6" w:space="0"/>
              <w:left w:val="single" w:color="auto" w:sz="4" w:space="0"/>
              <w:bottom w:val="single" w:color="auto" w:sz="6" w:space="0"/>
              <w:right w:val="single" w:color="auto" w:sz="6" w:space="0"/>
            </w:tcBorders>
            <w:noWrap w:val="0"/>
            <w:vAlign w:val="center"/>
          </w:tcPr>
          <w:p w14:paraId="34F336FE">
            <w:pPr>
              <w:spacing w:line="360" w:lineRule="auto"/>
              <w:jc w:val="center"/>
              <w:rPr>
                <w:rFonts w:ascii="宋体" w:hAnsi="宋体"/>
                <w:color w:val="auto"/>
                <w:sz w:val="27"/>
                <w:szCs w:val="27"/>
                <w:highlight w:val="none"/>
              </w:rPr>
            </w:pPr>
            <w:r>
              <w:rPr>
                <w:rFonts w:hint="eastAsia" w:ascii="宋体" w:hAnsi="宋体"/>
                <w:color w:val="auto"/>
                <w:sz w:val="27"/>
                <w:szCs w:val="27"/>
                <w:highlight w:val="none"/>
              </w:rPr>
              <w:t>技术分</w:t>
            </w:r>
          </w:p>
          <w:p w14:paraId="5BEB8AB4">
            <w:pPr>
              <w:spacing w:line="360" w:lineRule="auto"/>
              <w:jc w:val="center"/>
              <w:rPr>
                <w:rFonts w:ascii="宋体" w:hAnsi="宋体"/>
                <w:color w:val="auto"/>
                <w:sz w:val="27"/>
                <w:szCs w:val="27"/>
                <w:highlight w:val="none"/>
              </w:rPr>
            </w:pPr>
            <w:r>
              <w:rPr>
                <w:rFonts w:hint="eastAsia" w:ascii="宋体" w:hAnsi="宋体"/>
                <w:color w:val="auto"/>
                <w:sz w:val="27"/>
                <w:szCs w:val="27"/>
                <w:highlight w:val="none"/>
              </w:rPr>
              <w:t>（35分）</w:t>
            </w:r>
          </w:p>
        </w:tc>
        <w:tc>
          <w:tcPr>
            <w:tcW w:w="9038" w:type="dxa"/>
            <w:tcBorders>
              <w:top w:val="single" w:color="auto" w:sz="6" w:space="0"/>
              <w:left w:val="single" w:color="auto" w:sz="6" w:space="0"/>
              <w:bottom w:val="single" w:color="auto" w:sz="6" w:space="0"/>
              <w:right w:val="single" w:color="auto" w:sz="4" w:space="0"/>
            </w:tcBorders>
            <w:noWrap w:val="0"/>
            <w:vAlign w:val="top"/>
          </w:tcPr>
          <w:p w14:paraId="21267470">
            <w:pPr>
              <w:spacing w:line="360" w:lineRule="auto"/>
              <w:rPr>
                <w:rFonts w:hint="eastAsia" w:ascii="宋体" w:hAnsi="宋体"/>
                <w:color w:val="auto"/>
                <w:sz w:val="27"/>
                <w:szCs w:val="27"/>
                <w:highlight w:val="none"/>
              </w:rPr>
            </w:pPr>
            <w:r>
              <w:rPr>
                <w:rFonts w:hint="eastAsia" w:ascii="宋体" w:hAnsi="宋体"/>
                <w:color w:val="auto"/>
                <w:sz w:val="27"/>
                <w:szCs w:val="27"/>
                <w:highlight w:val="none"/>
              </w:rPr>
              <w:t>（一）供货方案（</w:t>
            </w:r>
            <w:r>
              <w:rPr>
                <w:rFonts w:hint="eastAsia" w:ascii="宋体" w:hAnsi="宋体"/>
                <w:color w:val="auto"/>
                <w:sz w:val="27"/>
                <w:szCs w:val="27"/>
                <w:highlight w:val="none"/>
                <w:lang w:val="en-US" w:eastAsia="zh-CN"/>
              </w:rPr>
              <w:t>5</w:t>
            </w:r>
            <w:r>
              <w:rPr>
                <w:rFonts w:hint="eastAsia" w:ascii="宋体" w:hAnsi="宋体"/>
                <w:color w:val="auto"/>
                <w:sz w:val="27"/>
                <w:szCs w:val="27"/>
                <w:highlight w:val="none"/>
              </w:rPr>
              <w:t>分）：根据响应供应商提供的供货方案的合理性、可行性进行打分，供货方案明确且合理者得</w:t>
            </w:r>
            <w:r>
              <w:rPr>
                <w:rFonts w:hint="eastAsia" w:ascii="宋体" w:hAnsi="宋体"/>
                <w:color w:val="auto"/>
                <w:sz w:val="27"/>
                <w:szCs w:val="27"/>
                <w:highlight w:val="none"/>
                <w:lang w:val="en-US" w:eastAsia="zh-CN"/>
              </w:rPr>
              <w:t>5</w:t>
            </w:r>
            <w:r>
              <w:rPr>
                <w:rFonts w:hint="eastAsia" w:ascii="宋体" w:hAnsi="宋体"/>
                <w:color w:val="auto"/>
                <w:sz w:val="27"/>
                <w:szCs w:val="27"/>
                <w:highlight w:val="none"/>
              </w:rPr>
              <w:t>分，供货方案明确但不合理或者不明确但合理者得</w:t>
            </w:r>
            <w:r>
              <w:rPr>
                <w:rFonts w:hint="eastAsia" w:ascii="宋体" w:hAnsi="宋体"/>
                <w:color w:val="auto"/>
                <w:sz w:val="27"/>
                <w:szCs w:val="27"/>
                <w:highlight w:val="none"/>
                <w:lang w:val="en-US" w:eastAsia="zh-CN"/>
              </w:rPr>
              <w:t>2</w:t>
            </w:r>
            <w:r>
              <w:rPr>
                <w:rFonts w:hint="eastAsia" w:ascii="宋体" w:hAnsi="宋体"/>
                <w:color w:val="auto"/>
                <w:sz w:val="27"/>
                <w:szCs w:val="27"/>
                <w:highlight w:val="none"/>
              </w:rPr>
              <w:t>分，项目实施方案一般者得1分，未提供方案或方案不具备可操作性者得0分。</w:t>
            </w:r>
          </w:p>
          <w:p w14:paraId="5327557C">
            <w:pPr>
              <w:spacing w:line="360" w:lineRule="auto"/>
              <w:rPr>
                <w:rFonts w:hint="eastAsia" w:ascii="宋体" w:hAnsi="宋体"/>
                <w:color w:val="auto"/>
                <w:sz w:val="27"/>
                <w:szCs w:val="27"/>
                <w:highlight w:val="none"/>
              </w:rPr>
            </w:pPr>
            <w:r>
              <w:rPr>
                <w:rFonts w:hint="eastAsia" w:ascii="宋体" w:hAnsi="宋体"/>
                <w:color w:val="auto"/>
                <w:sz w:val="27"/>
                <w:szCs w:val="27"/>
                <w:highlight w:val="none"/>
              </w:rPr>
              <w:t>（二）安全保障措施（6分）：根据响应供应商针对本项目提供的安全保障措施（包含但不限于文明运输、安全运输、人员安全保护等措施）进行打分，安全保障措施明确且合理者得6分；安全保障措施明确但不合理或者不明确但合理者得2分；安全保障措施一般者得1分；无此内容或内容不具备可操作性者得0分。</w:t>
            </w:r>
          </w:p>
          <w:p w14:paraId="5ED948B4">
            <w:pPr>
              <w:spacing w:line="360" w:lineRule="auto"/>
              <w:rPr>
                <w:rFonts w:hint="eastAsia" w:ascii="宋体" w:hAnsi="宋体"/>
                <w:color w:val="auto"/>
                <w:sz w:val="27"/>
                <w:szCs w:val="27"/>
                <w:highlight w:val="none"/>
              </w:rPr>
            </w:pPr>
            <w:r>
              <w:rPr>
                <w:rFonts w:hint="eastAsia" w:ascii="宋体" w:hAnsi="宋体"/>
                <w:color w:val="auto"/>
                <w:sz w:val="27"/>
                <w:szCs w:val="27"/>
                <w:highlight w:val="none"/>
              </w:rPr>
              <w:t>（三）质量保障措施方案（7分）：</w:t>
            </w:r>
            <w:r>
              <w:rPr>
                <w:rFonts w:ascii="宋体" w:hAnsi="宋体"/>
                <w:color w:val="auto"/>
                <w:sz w:val="27"/>
                <w:szCs w:val="27"/>
                <w:highlight w:val="none"/>
              </w:rPr>
              <w:t>根据</w:t>
            </w:r>
            <w:r>
              <w:rPr>
                <w:rFonts w:hint="eastAsia" w:ascii="宋体" w:hAnsi="宋体"/>
                <w:color w:val="auto"/>
                <w:sz w:val="27"/>
                <w:szCs w:val="27"/>
                <w:highlight w:val="none"/>
              </w:rPr>
              <w:t>响应供应商针对本项目</w:t>
            </w:r>
            <w:r>
              <w:rPr>
                <w:rFonts w:ascii="宋体" w:hAnsi="宋体"/>
                <w:color w:val="auto"/>
                <w:sz w:val="27"/>
                <w:szCs w:val="27"/>
                <w:highlight w:val="none"/>
              </w:rPr>
              <w:t>提供的</w:t>
            </w:r>
            <w:r>
              <w:rPr>
                <w:rFonts w:hint="eastAsia" w:ascii="宋体" w:hAnsi="宋体"/>
                <w:color w:val="auto"/>
                <w:sz w:val="27"/>
                <w:szCs w:val="27"/>
                <w:highlight w:val="none"/>
              </w:rPr>
              <w:t>质量保障措施方案进行打分，方案明确且合理者得7分；方案明确但不合理或者不明确但合理者得3分；方案一般者得1分；无此内容或内容不具备可操作性者得0分。</w:t>
            </w:r>
          </w:p>
          <w:p w14:paraId="5812F7AE">
            <w:pPr>
              <w:spacing w:line="360" w:lineRule="auto"/>
              <w:rPr>
                <w:rFonts w:hint="eastAsia" w:ascii="宋体" w:hAnsi="宋体"/>
                <w:color w:val="auto"/>
                <w:sz w:val="27"/>
                <w:szCs w:val="27"/>
                <w:highlight w:val="none"/>
              </w:rPr>
            </w:pPr>
            <w:r>
              <w:rPr>
                <w:rFonts w:hint="eastAsia" w:ascii="宋体" w:hAnsi="宋体"/>
                <w:color w:val="auto"/>
                <w:sz w:val="27"/>
                <w:szCs w:val="27"/>
                <w:highlight w:val="none"/>
              </w:rPr>
              <w:t>（四）</w:t>
            </w:r>
            <w:r>
              <w:rPr>
                <w:rFonts w:hint="eastAsia"/>
                <w:color w:val="auto"/>
                <w:sz w:val="27"/>
                <w:szCs w:val="27"/>
                <w:highlight w:val="yellow"/>
                <w:lang w:val="en-US" w:eastAsia="zh-CN"/>
              </w:rPr>
              <w:t>产品质量分（10分）：根据质量标准对各供应商提供给采购人试验室的样品检测结果</w:t>
            </w:r>
            <w:r>
              <w:rPr>
                <w:rFonts w:hint="eastAsia" w:ascii="宋体" w:hAnsi="宋体"/>
                <w:color w:val="auto"/>
                <w:sz w:val="27"/>
                <w:szCs w:val="27"/>
                <w:highlight w:val="yellow"/>
              </w:rPr>
              <w:t>进行</w:t>
            </w:r>
            <w:r>
              <w:rPr>
                <w:rFonts w:hint="eastAsia"/>
                <w:color w:val="auto"/>
                <w:sz w:val="27"/>
                <w:szCs w:val="27"/>
                <w:highlight w:val="yellow"/>
                <w:lang w:val="en-US" w:eastAsia="zh-CN"/>
              </w:rPr>
              <w:t>打分，产品质量优则得9-10分，良7-8分，一般6分，及格4-5分，不及格 4分以下。</w:t>
            </w:r>
          </w:p>
          <w:p w14:paraId="5610A1C6">
            <w:pPr>
              <w:spacing w:line="360" w:lineRule="auto"/>
              <w:rPr>
                <w:rFonts w:ascii="宋体" w:hAnsi="宋体"/>
                <w:color w:val="auto"/>
                <w:sz w:val="27"/>
                <w:szCs w:val="27"/>
                <w:highlight w:val="none"/>
              </w:rPr>
            </w:pPr>
            <w:r>
              <w:rPr>
                <w:rFonts w:hint="eastAsia" w:ascii="宋体" w:hAnsi="宋体"/>
                <w:color w:val="auto"/>
                <w:sz w:val="27"/>
                <w:szCs w:val="27"/>
                <w:highlight w:val="none"/>
              </w:rPr>
              <w:t>（五）紧急情况的处理措施及应急预案（</w:t>
            </w:r>
            <w:r>
              <w:rPr>
                <w:rFonts w:hint="eastAsia" w:ascii="宋体" w:hAnsi="宋体"/>
                <w:color w:val="auto"/>
                <w:sz w:val="27"/>
                <w:szCs w:val="27"/>
                <w:highlight w:val="none"/>
                <w:lang w:val="en-US" w:eastAsia="zh-CN"/>
              </w:rPr>
              <w:t>3</w:t>
            </w:r>
            <w:r>
              <w:rPr>
                <w:rFonts w:hint="eastAsia" w:ascii="宋体" w:hAnsi="宋体"/>
                <w:color w:val="auto"/>
                <w:sz w:val="27"/>
                <w:szCs w:val="27"/>
                <w:highlight w:val="none"/>
              </w:rPr>
              <w:t>分）：根据响应供应商针对本项目提供的紧急情况的处理措施及应急预案进行打分，方案明确且合理者得</w:t>
            </w:r>
            <w:r>
              <w:rPr>
                <w:rFonts w:hint="eastAsia" w:ascii="宋体" w:hAnsi="宋体"/>
                <w:color w:val="auto"/>
                <w:sz w:val="27"/>
                <w:szCs w:val="27"/>
                <w:highlight w:val="none"/>
                <w:lang w:val="en-US" w:eastAsia="zh-CN"/>
              </w:rPr>
              <w:t>3</w:t>
            </w:r>
            <w:r>
              <w:rPr>
                <w:rFonts w:hint="eastAsia" w:ascii="宋体" w:hAnsi="宋体"/>
                <w:color w:val="auto"/>
                <w:sz w:val="27"/>
                <w:szCs w:val="27"/>
                <w:highlight w:val="none"/>
              </w:rPr>
              <w:t>分；方案明确但不合理或者不明确但合理者得2分；方案一般者得1分；无此内容或内容不具备可操作性者得0分。</w:t>
            </w:r>
          </w:p>
          <w:p w14:paraId="10AE216D">
            <w:pPr>
              <w:pStyle w:val="2"/>
              <w:ind w:left="0" w:leftChars="0" w:firstLine="0" w:firstLineChars="0"/>
              <w:rPr>
                <w:rFonts w:hint="default" w:eastAsiaTheme="minorEastAsia"/>
                <w:lang w:val="en-US" w:eastAsia="zh-CN"/>
              </w:rPr>
            </w:pPr>
            <w:r>
              <w:rPr>
                <w:rFonts w:hint="eastAsia" w:ascii="宋体" w:hAnsi="宋体"/>
                <w:color w:val="auto"/>
                <w:sz w:val="27"/>
                <w:szCs w:val="27"/>
                <w:highlight w:val="none"/>
              </w:rPr>
              <w:t>（</w:t>
            </w:r>
            <w:r>
              <w:rPr>
                <w:rFonts w:hint="eastAsia"/>
                <w:color w:val="auto"/>
                <w:sz w:val="27"/>
                <w:szCs w:val="27"/>
                <w:highlight w:val="none"/>
                <w:lang w:val="en-US" w:eastAsia="zh-CN"/>
              </w:rPr>
              <w:t>六</w:t>
            </w:r>
            <w:r>
              <w:rPr>
                <w:rFonts w:hint="eastAsia" w:ascii="宋体" w:hAnsi="宋体"/>
                <w:color w:val="auto"/>
                <w:sz w:val="27"/>
                <w:szCs w:val="27"/>
                <w:highlight w:val="none"/>
              </w:rPr>
              <w:t>）成功案例</w:t>
            </w:r>
            <w:r>
              <w:rPr>
                <w:rFonts w:ascii="宋体" w:hAnsi="宋体"/>
                <w:color w:val="auto"/>
                <w:sz w:val="27"/>
                <w:szCs w:val="27"/>
                <w:highlight w:val="none"/>
              </w:rPr>
              <w:t>（</w:t>
            </w:r>
            <w:r>
              <w:rPr>
                <w:rFonts w:hint="eastAsia" w:ascii="宋体" w:hAnsi="宋体"/>
                <w:color w:val="auto"/>
                <w:sz w:val="27"/>
                <w:szCs w:val="27"/>
                <w:highlight w:val="none"/>
                <w:lang w:val="en-US" w:eastAsia="zh-CN"/>
              </w:rPr>
              <w:t>4</w:t>
            </w:r>
            <w:r>
              <w:rPr>
                <w:rFonts w:ascii="宋体" w:hAnsi="宋体"/>
                <w:color w:val="auto"/>
                <w:sz w:val="27"/>
                <w:szCs w:val="27"/>
                <w:highlight w:val="none"/>
              </w:rPr>
              <w:t>分）：</w:t>
            </w:r>
            <w:r>
              <w:rPr>
                <w:rFonts w:hint="eastAsia" w:ascii="宋体" w:hAnsi="宋体"/>
                <w:color w:val="auto"/>
                <w:sz w:val="27"/>
                <w:szCs w:val="27"/>
                <w:highlight w:val="none"/>
              </w:rPr>
              <w:t>响应供应商</w:t>
            </w:r>
            <w:r>
              <w:rPr>
                <w:rFonts w:ascii="宋体" w:hAnsi="宋体"/>
                <w:color w:val="auto"/>
                <w:sz w:val="27"/>
                <w:szCs w:val="27"/>
                <w:highlight w:val="none"/>
              </w:rPr>
              <w:t>在</w:t>
            </w:r>
            <w:r>
              <w:rPr>
                <w:rFonts w:hint="eastAsia" w:ascii="宋体" w:hAnsi="宋体"/>
                <w:color w:val="auto"/>
                <w:sz w:val="27"/>
                <w:szCs w:val="27"/>
                <w:highlight w:val="none"/>
              </w:rPr>
              <w:t>2022年01月01日起</w:t>
            </w:r>
            <w:r>
              <w:rPr>
                <w:rFonts w:ascii="宋体" w:hAnsi="宋体"/>
                <w:color w:val="auto"/>
                <w:sz w:val="27"/>
                <w:szCs w:val="27"/>
                <w:highlight w:val="none"/>
              </w:rPr>
              <w:t>截止到开标时间前）（以签订合同时间为准）承担过同类项目者，每提供1份得</w:t>
            </w:r>
            <w:r>
              <w:rPr>
                <w:rFonts w:hint="eastAsia" w:ascii="宋体" w:hAnsi="宋体"/>
                <w:color w:val="auto"/>
                <w:sz w:val="27"/>
                <w:szCs w:val="27"/>
                <w:highlight w:val="none"/>
                <w:lang w:val="en-US" w:eastAsia="zh-CN"/>
              </w:rPr>
              <w:t>1</w:t>
            </w:r>
            <w:r>
              <w:rPr>
                <w:rFonts w:ascii="宋体" w:hAnsi="宋体"/>
                <w:color w:val="auto"/>
                <w:sz w:val="27"/>
                <w:szCs w:val="27"/>
                <w:highlight w:val="none"/>
              </w:rPr>
              <w:t>分，以此类推，最高得</w:t>
            </w:r>
            <w:r>
              <w:rPr>
                <w:rFonts w:hint="eastAsia" w:ascii="宋体" w:hAnsi="宋体"/>
                <w:color w:val="auto"/>
                <w:sz w:val="27"/>
                <w:szCs w:val="27"/>
                <w:highlight w:val="none"/>
                <w:lang w:val="en-US" w:eastAsia="zh-CN"/>
              </w:rPr>
              <w:t>4</w:t>
            </w:r>
            <w:r>
              <w:rPr>
                <w:rFonts w:ascii="宋体" w:hAnsi="宋体"/>
                <w:color w:val="auto"/>
                <w:sz w:val="27"/>
                <w:szCs w:val="27"/>
                <w:highlight w:val="none"/>
              </w:rPr>
              <w:t>分，其他得0分。（提供合同</w:t>
            </w:r>
            <w:r>
              <w:rPr>
                <w:rFonts w:hint="eastAsia" w:ascii="宋体" w:hAnsi="宋体"/>
                <w:color w:val="auto"/>
                <w:sz w:val="27"/>
                <w:szCs w:val="27"/>
                <w:highlight w:val="none"/>
              </w:rPr>
              <w:t>复印件</w:t>
            </w:r>
            <w:r>
              <w:rPr>
                <w:rFonts w:ascii="宋体" w:hAnsi="宋体"/>
                <w:color w:val="auto"/>
                <w:sz w:val="27"/>
                <w:szCs w:val="27"/>
                <w:highlight w:val="none"/>
              </w:rPr>
              <w:t>并加盖</w:t>
            </w:r>
            <w:r>
              <w:rPr>
                <w:rFonts w:hint="eastAsia" w:ascii="宋体" w:hAnsi="宋体"/>
                <w:color w:val="auto"/>
                <w:sz w:val="27"/>
                <w:szCs w:val="27"/>
                <w:highlight w:val="none"/>
              </w:rPr>
              <w:t>响应供应商</w:t>
            </w:r>
            <w:r>
              <w:rPr>
                <w:rFonts w:ascii="宋体" w:hAnsi="宋体"/>
                <w:color w:val="auto"/>
                <w:sz w:val="27"/>
                <w:szCs w:val="27"/>
                <w:highlight w:val="none"/>
              </w:rPr>
              <w:t>公章，未提供或提供无效者得0分）</w:t>
            </w:r>
          </w:p>
        </w:tc>
      </w:tr>
      <w:tr w14:paraId="02E7F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465" w:type="dxa"/>
            <w:tcBorders>
              <w:top w:val="single" w:color="auto" w:sz="6" w:space="0"/>
              <w:left w:val="single" w:color="auto" w:sz="4" w:space="0"/>
              <w:bottom w:val="single" w:color="auto" w:sz="4" w:space="0"/>
              <w:right w:val="single" w:color="auto" w:sz="6" w:space="0"/>
            </w:tcBorders>
            <w:noWrap w:val="0"/>
            <w:vAlign w:val="center"/>
          </w:tcPr>
          <w:p w14:paraId="3FA3AD6F">
            <w:pPr>
              <w:spacing w:line="360" w:lineRule="auto"/>
              <w:jc w:val="center"/>
              <w:rPr>
                <w:rFonts w:ascii="宋体" w:hAnsi="宋体"/>
                <w:color w:val="auto"/>
                <w:sz w:val="27"/>
                <w:szCs w:val="27"/>
                <w:highlight w:val="none"/>
              </w:rPr>
            </w:pPr>
            <w:r>
              <w:rPr>
                <w:rFonts w:hint="eastAsia" w:ascii="宋体" w:hAnsi="宋体"/>
                <w:color w:val="auto"/>
                <w:sz w:val="27"/>
                <w:szCs w:val="27"/>
                <w:highlight w:val="none"/>
              </w:rPr>
              <w:t>商务分（5分）</w:t>
            </w:r>
          </w:p>
        </w:tc>
        <w:tc>
          <w:tcPr>
            <w:tcW w:w="9038" w:type="dxa"/>
            <w:tcBorders>
              <w:top w:val="single" w:color="auto" w:sz="6" w:space="0"/>
              <w:left w:val="single" w:color="auto" w:sz="6" w:space="0"/>
              <w:bottom w:val="single" w:color="auto" w:sz="4" w:space="0"/>
              <w:right w:val="single" w:color="auto" w:sz="4" w:space="0"/>
            </w:tcBorders>
            <w:noWrap w:val="0"/>
            <w:vAlign w:val="top"/>
          </w:tcPr>
          <w:p w14:paraId="3F49549B">
            <w:pPr>
              <w:spacing w:line="360" w:lineRule="auto"/>
              <w:rPr>
                <w:rFonts w:ascii="宋体" w:hAnsi="宋体" w:eastAsia="新宋体" w:cs="宋体"/>
                <w:color w:val="auto"/>
                <w:kern w:val="0"/>
                <w:sz w:val="27"/>
                <w:szCs w:val="27"/>
                <w:highlight w:val="none"/>
              </w:rPr>
            </w:pPr>
            <w:r>
              <w:rPr>
                <w:rFonts w:hint="eastAsia" w:ascii="宋体" w:hAnsi="宋体"/>
                <w:color w:val="auto"/>
                <w:sz w:val="27"/>
                <w:szCs w:val="27"/>
                <w:highlight w:val="none"/>
              </w:rPr>
              <w:t>后续服务承诺（5分）：响应供应商承诺提供服务质量保障措施和后续服务（采购人要求以外的服务）承诺者得5分，其他得0分。（响应文件正本中提供承诺函原件并加盖响应供应商公章，未提供或提供无效者得0分。）</w:t>
            </w:r>
          </w:p>
        </w:tc>
      </w:tr>
    </w:tbl>
    <w:p w14:paraId="6C43E8D5">
      <w:pPr>
        <w:pStyle w:val="2"/>
        <w:ind w:left="0" w:leftChars="0" w:firstLine="0" w:firstLineChars="0"/>
        <w:jc w:val="left"/>
        <w:rPr>
          <w:rFonts w:hint="eastAsia" w:ascii="宋体" w:hAnsi="宋体" w:cs="仿宋"/>
          <w:color w:val="auto"/>
          <w:sz w:val="27"/>
          <w:szCs w:val="27"/>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013213F7"/>
    <w:rsid w:val="02BE73D0"/>
    <w:rsid w:val="03991DF6"/>
    <w:rsid w:val="04DD5D12"/>
    <w:rsid w:val="0A1B460D"/>
    <w:rsid w:val="0BB974D9"/>
    <w:rsid w:val="0C667802"/>
    <w:rsid w:val="0D2D5E34"/>
    <w:rsid w:val="0D822EDA"/>
    <w:rsid w:val="11D5049D"/>
    <w:rsid w:val="12763899"/>
    <w:rsid w:val="14D53506"/>
    <w:rsid w:val="17CE4F1B"/>
    <w:rsid w:val="180B0C4C"/>
    <w:rsid w:val="189A6437"/>
    <w:rsid w:val="19CE31F9"/>
    <w:rsid w:val="1A5E6904"/>
    <w:rsid w:val="1E3D4567"/>
    <w:rsid w:val="1F8F04EA"/>
    <w:rsid w:val="1FF42BB6"/>
    <w:rsid w:val="22FB5944"/>
    <w:rsid w:val="265B759B"/>
    <w:rsid w:val="2C0C0C69"/>
    <w:rsid w:val="32DA0E75"/>
    <w:rsid w:val="33343504"/>
    <w:rsid w:val="38AC6E36"/>
    <w:rsid w:val="3A2D1F21"/>
    <w:rsid w:val="3AF456EB"/>
    <w:rsid w:val="3C3025F0"/>
    <w:rsid w:val="3D587705"/>
    <w:rsid w:val="43C60D4A"/>
    <w:rsid w:val="44BF711B"/>
    <w:rsid w:val="460B67F1"/>
    <w:rsid w:val="475E6263"/>
    <w:rsid w:val="484C34EE"/>
    <w:rsid w:val="4B321EE0"/>
    <w:rsid w:val="4BB072A9"/>
    <w:rsid w:val="4BDB2E9B"/>
    <w:rsid w:val="4D1D67F6"/>
    <w:rsid w:val="4D8D126B"/>
    <w:rsid w:val="505179D5"/>
    <w:rsid w:val="50B04857"/>
    <w:rsid w:val="52221D76"/>
    <w:rsid w:val="52415396"/>
    <w:rsid w:val="524F4876"/>
    <w:rsid w:val="55AB4F25"/>
    <w:rsid w:val="578F4217"/>
    <w:rsid w:val="57992641"/>
    <w:rsid w:val="58762D79"/>
    <w:rsid w:val="5B2E6224"/>
    <w:rsid w:val="5C0C6A4C"/>
    <w:rsid w:val="5D1E42D6"/>
    <w:rsid w:val="5F983BAA"/>
    <w:rsid w:val="604B6A88"/>
    <w:rsid w:val="60C9280D"/>
    <w:rsid w:val="661C595A"/>
    <w:rsid w:val="673B1CDC"/>
    <w:rsid w:val="684243BB"/>
    <w:rsid w:val="69877444"/>
    <w:rsid w:val="6B5F203D"/>
    <w:rsid w:val="6C2A0BD7"/>
    <w:rsid w:val="6D1201FF"/>
    <w:rsid w:val="717937F4"/>
    <w:rsid w:val="72E06C6B"/>
    <w:rsid w:val="747534C9"/>
    <w:rsid w:val="757A1C0A"/>
    <w:rsid w:val="78B1524F"/>
    <w:rsid w:val="7FC4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80" w:firstLineChars="200"/>
    </w:pPr>
    <w:rPr>
      <w:rFonts w:ascii="宋体" w:hAnsi="宋体" w:cs="宋体"/>
      <w:kern w:val="0"/>
      <w:sz w:val="24"/>
    </w:rPr>
  </w:style>
  <w:style w:type="paragraph" w:styleId="3">
    <w:name w:val="Normal Indent"/>
    <w:basedOn w:val="1"/>
    <w:autoRedefine/>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8">
    <w:name w:val="font01"/>
    <w:basedOn w:val="6"/>
    <w:autoRedefine/>
    <w:qFormat/>
    <w:uiPriority w:val="0"/>
    <w:rPr>
      <w:rFonts w:hint="eastAsia" w:ascii="宋体" w:hAnsi="宋体" w:eastAsia="宋体" w:cs="宋体"/>
      <w:color w:val="000000"/>
      <w:sz w:val="22"/>
      <w:szCs w:val="22"/>
      <w:u w:val="none"/>
    </w:rPr>
  </w:style>
  <w:style w:type="character" w:customStyle="1" w:styleId="9">
    <w:name w:val="font11"/>
    <w:basedOn w:val="6"/>
    <w:autoRedefine/>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878</Characters>
  <Lines>0</Lines>
  <Paragraphs>0</Paragraphs>
  <TotalTime>10</TotalTime>
  <ScaleCrop>false</ScaleCrop>
  <LinksUpToDate>false</LinksUpToDate>
  <CharactersWithSpaces>879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2023-04-23T07:01:00Z</dcterms:created>
  <dc:creator>dell</dc:creator>
  <cp:lastModifiedBy>Ankh</cp:lastModifiedBy>
  <dcterms:modified xsi:type="dcterms:W3CDTF">2024-12-12T09:38:02Z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1BDB7939446B4016B515D8E20D35C28E_13</vt:lpwstr>
  </property>
</Properties>
</file>