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3352">
      <w:pPr>
        <w:jc w:val="left"/>
        <w:rPr>
          <w:rFonts w:hint="eastAsia" w:ascii="仿宋" w:hAnsi="仿宋" w:eastAsia="仿宋" w:cs="仿宋"/>
          <w:sz w:val="24"/>
          <w:szCs w:val="24"/>
          <w:lang w:val="en-US" w:eastAsia="zh-CN"/>
        </w:rPr>
      </w:pPr>
      <w:bookmarkStart w:id="0" w:name="_GoBack"/>
      <w:r>
        <w:rPr>
          <w:rFonts w:hint="eastAsia" w:ascii="仿宋" w:hAnsi="仿宋" w:eastAsia="仿宋" w:cs="仿宋"/>
          <w:sz w:val="24"/>
          <w:szCs w:val="24"/>
          <w:lang w:val="en-US" w:eastAsia="zh-CN"/>
        </w:rPr>
        <w:t>附件一：报价格式栏</w:t>
      </w:r>
    </w:p>
    <w:bookmarkEnd w:id="0"/>
    <w:p w14:paraId="2D47A6B5">
      <w:pPr>
        <w:jc w:val="center"/>
        <w:rPr>
          <w:rFonts w:hint="default" w:ascii="宋体" w:hAnsi="宋体" w:eastAsia="宋体" w:cs="宋体"/>
          <w:b/>
          <w:bCs/>
          <w:sz w:val="52"/>
          <w:szCs w:val="52"/>
          <w:lang w:val="en-US" w:eastAsia="zh-CN"/>
        </w:rPr>
      </w:pPr>
      <w:r>
        <w:rPr>
          <w:rFonts w:hint="eastAsia" w:ascii="宋体" w:hAnsi="宋体" w:eastAsia="宋体" w:cs="宋体"/>
          <w:b/>
          <w:bCs/>
          <w:sz w:val="52"/>
          <w:szCs w:val="52"/>
          <w:lang w:val="en-US" w:eastAsia="zh-CN"/>
        </w:rPr>
        <w:t>报价单</w:t>
      </w:r>
    </w:p>
    <w:p w14:paraId="174D6586">
      <w:pPr>
        <w:tabs>
          <w:tab w:val="left" w:pos="1642"/>
        </w:tabs>
        <w:bidi w:val="0"/>
        <w:jc w:val="left"/>
        <w:rPr>
          <w:rFonts w:hint="eastAsia"/>
          <w:lang w:val="en-US" w:eastAsia="zh-CN"/>
        </w:rPr>
      </w:pPr>
    </w:p>
    <w:p w14:paraId="46F85F70">
      <w:pPr>
        <w:bidi w:val="0"/>
        <w:rPr>
          <w:rFonts w:hint="default" w:ascii="仿宋" w:hAnsi="仿宋" w:eastAsia="仿宋" w:cs="仿宋"/>
          <w:lang w:val="en-US" w:eastAsia="zh-CN"/>
        </w:rPr>
      </w:pPr>
      <w:r>
        <w:rPr>
          <w:rFonts w:hint="eastAsia" w:ascii="仿宋" w:hAnsi="仿宋" w:eastAsia="仿宋" w:cs="仿宋"/>
          <w:lang w:val="en-US" w:eastAsia="zh-CN"/>
        </w:rPr>
        <w:t>采购公司名称：赣州市朝耀贸易有限公司</w:t>
      </w:r>
      <w:r>
        <w:rPr>
          <w:rFonts w:hint="eastAsia" w:ascii="仿宋" w:hAnsi="仿宋" w:eastAsia="仿宋" w:cs="仿宋"/>
          <w:lang w:val="en-US" w:eastAsia="zh-CN"/>
        </w:rPr>
        <w:tab/>
      </w:r>
      <w:r>
        <w:rPr>
          <w:rFonts w:hint="eastAsia" w:ascii="仿宋" w:hAnsi="仿宋" w:eastAsia="仿宋" w:cs="仿宋"/>
          <w:lang w:val="en-US" w:eastAsia="zh-CN"/>
        </w:rPr>
        <w:t xml:space="preserve">           联系人：王国玺</w:t>
      </w:r>
      <w:r>
        <w:rPr>
          <w:rFonts w:hint="eastAsia" w:ascii="仿宋" w:hAnsi="仿宋" w:eastAsia="仿宋" w:cs="仿宋"/>
          <w:lang w:val="en-US" w:eastAsia="zh-CN"/>
        </w:rPr>
        <w:tab/>
      </w:r>
      <w:r>
        <w:rPr>
          <w:rFonts w:hint="eastAsia" w:ascii="仿宋" w:hAnsi="仿宋" w:eastAsia="仿宋" w:cs="仿宋"/>
          <w:lang w:val="en-US" w:eastAsia="zh-CN"/>
        </w:rPr>
        <w:t xml:space="preserve">                   联系方式：17679306603</w:t>
      </w:r>
    </w:p>
    <w:tbl>
      <w:tblPr>
        <w:tblStyle w:val="10"/>
        <w:tblpPr w:leftFromText="180" w:rightFromText="180" w:vertAnchor="text" w:horzAnchor="page" w:tblpX="1544" w:tblpY="293"/>
        <w:tblOverlap w:val="never"/>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059"/>
        <w:gridCol w:w="2059"/>
        <w:gridCol w:w="2059"/>
        <w:gridCol w:w="2321"/>
        <w:gridCol w:w="2270"/>
        <w:gridCol w:w="2179"/>
      </w:tblGrid>
      <w:tr w14:paraId="2613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24" w:type="dxa"/>
            <w:noWrap w:val="0"/>
            <w:vAlign w:val="center"/>
          </w:tcPr>
          <w:p w14:paraId="41085FF2">
            <w:pPr>
              <w:tabs>
                <w:tab w:val="left" w:pos="1642"/>
              </w:tabs>
              <w:bidi w:val="0"/>
              <w:spacing w:line="480" w:lineRule="auto"/>
              <w:jc w:val="center"/>
              <w:rPr>
                <w:rFonts w:hint="eastAsia"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序号</w:t>
            </w:r>
          </w:p>
        </w:tc>
        <w:tc>
          <w:tcPr>
            <w:tcW w:w="2059" w:type="dxa"/>
            <w:noWrap w:val="0"/>
            <w:vAlign w:val="center"/>
          </w:tcPr>
          <w:p w14:paraId="0DD703ED">
            <w:pPr>
              <w:tabs>
                <w:tab w:val="left" w:pos="1642"/>
              </w:tabs>
              <w:bidi w:val="0"/>
              <w:spacing w:line="48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产品规格</w:t>
            </w:r>
          </w:p>
        </w:tc>
        <w:tc>
          <w:tcPr>
            <w:tcW w:w="2059" w:type="dxa"/>
            <w:noWrap w:val="0"/>
            <w:vAlign w:val="center"/>
          </w:tcPr>
          <w:p w14:paraId="62BA46E2">
            <w:pPr>
              <w:tabs>
                <w:tab w:val="left" w:pos="1642"/>
              </w:tabs>
              <w:bidi w:val="0"/>
              <w:spacing w:line="48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预估数量（吨）</w:t>
            </w:r>
          </w:p>
        </w:tc>
        <w:tc>
          <w:tcPr>
            <w:tcW w:w="2059" w:type="dxa"/>
            <w:noWrap w:val="0"/>
            <w:vAlign w:val="center"/>
          </w:tcPr>
          <w:p w14:paraId="0E2C77EA">
            <w:pPr>
              <w:tabs>
                <w:tab w:val="left" w:pos="1642"/>
              </w:tabs>
              <w:bidi w:val="0"/>
              <w:spacing w:line="48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供货项目</w:t>
            </w:r>
          </w:p>
        </w:tc>
        <w:tc>
          <w:tcPr>
            <w:tcW w:w="2321" w:type="dxa"/>
            <w:noWrap w:val="0"/>
            <w:vAlign w:val="center"/>
          </w:tcPr>
          <w:p w14:paraId="6C11C5A4">
            <w:pPr>
              <w:tabs>
                <w:tab w:val="left" w:pos="1642"/>
              </w:tabs>
              <w:bidi w:val="0"/>
              <w:spacing w:line="240" w:lineRule="auto"/>
              <w:jc w:val="center"/>
              <w:rPr>
                <w:rFonts w:hint="eastAsia" w:ascii="仿宋" w:hAnsi="仿宋" w:eastAsia="仿宋" w:cs="仿宋"/>
                <w:szCs w:val="20"/>
                <w:vertAlign w:val="baseline"/>
                <w:lang w:val="en-US" w:eastAsia="zh-CN"/>
              </w:rPr>
            </w:pPr>
            <w:r>
              <w:rPr>
                <w:rFonts w:hint="eastAsia" w:ascii="仿宋" w:hAnsi="仿宋" w:eastAsia="仿宋" w:cs="仿宋"/>
                <w:i w:val="0"/>
                <w:iCs w:val="0"/>
                <w:caps w:val="0"/>
                <w:spacing w:val="0"/>
                <w:sz w:val="20"/>
                <w:szCs w:val="20"/>
                <w:shd w:val="clear" w:color="auto" w:fill="FFFFFF"/>
                <w:lang w:val="en-US" w:eastAsia="zh-CN"/>
              </w:rPr>
              <w:t>到货时间</w:t>
            </w:r>
          </w:p>
        </w:tc>
        <w:tc>
          <w:tcPr>
            <w:tcW w:w="2270" w:type="dxa"/>
            <w:noWrap w:val="0"/>
            <w:vAlign w:val="center"/>
          </w:tcPr>
          <w:p w14:paraId="6546B2D5">
            <w:pPr>
              <w:tabs>
                <w:tab w:val="left" w:pos="1642"/>
              </w:tabs>
              <w:bidi w:val="0"/>
              <w:spacing w:line="480" w:lineRule="auto"/>
              <w:jc w:val="center"/>
              <w:rPr>
                <w:rFonts w:hint="default" w:ascii="仿宋" w:hAnsi="仿宋" w:eastAsia="仿宋" w:cs="仿宋"/>
                <w:kern w:val="2"/>
                <w:sz w:val="21"/>
                <w:szCs w:val="24"/>
                <w:vertAlign w:val="baseline"/>
                <w:lang w:val="en-US" w:eastAsia="zh-CN" w:bidi="ar-SA"/>
              </w:rPr>
            </w:pPr>
            <w:r>
              <w:rPr>
                <w:rFonts w:hint="eastAsia" w:ascii="仿宋" w:hAnsi="仿宋" w:eastAsia="仿宋" w:cs="仿宋"/>
                <w:szCs w:val="20"/>
                <w:vertAlign w:val="baseline"/>
                <w:lang w:val="en-US" w:eastAsia="zh-CN"/>
              </w:rPr>
              <w:t>报价栏（元）</w:t>
            </w:r>
          </w:p>
        </w:tc>
        <w:tc>
          <w:tcPr>
            <w:tcW w:w="2179" w:type="dxa"/>
            <w:noWrap w:val="0"/>
            <w:vAlign w:val="center"/>
          </w:tcPr>
          <w:p w14:paraId="486A9B5A">
            <w:pPr>
              <w:tabs>
                <w:tab w:val="left" w:pos="1642"/>
              </w:tabs>
              <w:bidi w:val="0"/>
              <w:spacing w:line="480" w:lineRule="auto"/>
              <w:jc w:val="center"/>
              <w:rPr>
                <w:rFonts w:hint="eastAsia"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水泥品牌</w:t>
            </w:r>
          </w:p>
        </w:tc>
      </w:tr>
      <w:tr w14:paraId="4DBB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224" w:type="dxa"/>
            <w:vMerge w:val="restart"/>
            <w:noWrap w:val="0"/>
            <w:vAlign w:val="center"/>
          </w:tcPr>
          <w:p w14:paraId="7483E290">
            <w:pPr>
              <w:tabs>
                <w:tab w:val="left" w:pos="1642"/>
              </w:tabs>
              <w:bidi w:val="0"/>
              <w:spacing w:line="24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1</w:t>
            </w:r>
          </w:p>
        </w:tc>
        <w:tc>
          <w:tcPr>
            <w:tcW w:w="2059" w:type="dxa"/>
            <w:noWrap w:val="0"/>
            <w:vAlign w:val="center"/>
          </w:tcPr>
          <w:p w14:paraId="10CD435C">
            <w:pPr>
              <w:tabs>
                <w:tab w:val="left" w:pos="1642"/>
              </w:tabs>
              <w:bidi w:val="0"/>
              <w:spacing w:line="24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PO 42.5</w:t>
            </w:r>
          </w:p>
        </w:tc>
        <w:tc>
          <w:tcPr>
            <w:tcW w:w="2059" w:type="dxa"/>
            <w:noWrap w:val="0"/>
            <w:vAlign w:val="center"/>
          </w:tcPr>
          <w:p w14:paraId="66E4BC70">
            <w:pPr>
              <w:tabs>
                <w:tab w:val="left" w:pos="1642"/>
              </w:tabs>
              <w:bidi w:val="0"/>
              <w:spacing w:line="24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30000.00</w:t>
            </w:r>
          </w:p>
        </w:tc>
        <w:tc>
          <w:tcPr>
            <w:tcW w:w="2059" w:type="dxa"/>
            <w:vMerge w:val="restart"/>
            <w:noWrap w:val="0"/>
            <w:vAlign w:val="center"/>
          </w:tcPr>
          <w:p w14:paraId="18276FE6">
            <w:pPr>
              <w:tabs>
                <w:tab w:val="left" w:pos="1642"/>
              </w:tabs>
              <w:bidi w:val="0"/>
              <w:spacing w:line="240" w:lineRule="auto"/>
              <w:jc w:val="center"/>
              <w:rPr>
                <w:rFonts w:hint="default" w:ascii="仿宋" w:hAnsi="仿宋" w:eastAsia="仿宋" w:cs="仿宋"/>
                <w:szCs w:val="20"/>
                <w:vertAlign w:val="baseline"/>
                <w:lang w:val="en-US" w:eastAsia="zh-CN"/>
              </w:rPr>
            </w:pPr>
            <w:r>
              <w:rPr>
                <w:rFonts w:hint="default" w:ascii="仿宋" w:hAnsi="仿宋" w:eastAsia="仿宋" w:cs="仿宋"/>
                <w:szCs w:val="20"/>
                <w:vertAlign w:val="baseline"/>
                <w:lang w:val="en-US" w:eastAsia="zh-CN"/>
              </w:rPr>
              <w:t>赣州市南康区城发益大商品混凝土有限公司</w:t>
            </w:r>
          </w:p>
        </w:tc>
        <w:tc>
          <w:tcPr>
            <w:tcW w:w="2321" w:type="dxa"/>
            <w:vMerge w:val="restart"/>
            <w:noWrap w:val="0"/>
            <w:vAlign w:val="center"/>
          </w:tcPr>
          <w:p w14:paraId="2851CAFF">
            <w:pPr>
              <w:tabs>
                <w:tab w:val="left" w:pos="1642"/>
              </w:tabs>
              <w:bidi w:val="0"/>
              <w:spacing w:line="240" w:lineRule="auto"/>
              <w:jc w:val="center"/>
              <w:rPr>
                <w:rFonts w:hint="eastAsia"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需求单发出三天内</w:t>
            </w:r>
          </w:p>
        </w:tc>
        <w:tc>
          <w:tcPr>
            <w:tcW w:w="2270" w:type="dxa"/>
            <w:noWrap w:val="0"/>
            <w:vAlign w:val="center"/>
          </w:tcPr>
          <w:p w14:paraId="62FDD46D">
            <w:pPr>
              <w:tabs>
                <w:tab w:val="left" w:pos="1642"/>
              </w:tabs>
              <w:bidi w:val="0"/>
              <w:spacing w:line="480" w:lineRule="auto"/>
              <w:jc w:val="center"/>
              <w:rPr>
                <w:rFonts w:hint="eastAsia" w:ascii="仿宋" w:hAnsi="仿宋" w:eastAsia="仿宋" w:cs="仿宋"/>
                <w:kern w:val="2"/>
                <w:sz w:val="21"/>
                <w:szCs w:val="24"/>
                <w:vertAlign w:val="baseline"/>
                <w:lang w:val="en-US" w:eastAsia="zh-CN" w:bidi="ar-SA"/>
              </w:rPr>
            </w:pPr>
          </w:p>
        </w:tc>
        <w:tc>
          <w:tcPr>
            <w:tcW w:w="2179" w:type="dxa"/>
            <w:noWrap w:val="0"/>
            <w:vAlign w:val="center"/>
          </w:tcPr>
          <w:p w14:paraId="6763BF03">
            <w:pPr>
              <w:tabs>
                <w:tab w:val="left" w:pos="1642"/>
              </w:tabs>
              <w:bidi w:val="0"/>
              <w:spacing w:line="480" w:lineRule="auto"/>
              <w:jc w:val="center"/>
              <w:rPr>
                <w:rFonts w:hint="eastAsia" w:ascii="仿宋" w:hAnsi="仿宋" w:eastAsia="仿宋" w:cs="仿宋"/>
                <w:kern w:val="2"/>
                <w:sz w:val="21"/>
                <w:szCs w:val="24"/>
                <w:vertAlign w:val="baseline"/>
                <w:lang w:val="en-US" w:eastAsia="zh-CN" w:bidi="ar-SA"/>
              </w:rPr>
            </w:pPr>
          </w:p>
        </w:tc>
      </w:tr>
      <w:tr w14:paraId="3CA7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224" w:type="dxa"/>
            <w:vMerge w:val="continue"/>
            <w:noWrap w:val="0"/>
            <w:vAlign w:val="center"/>
          </w:tcPr>
          <w:p w14:paraId="61E26C46">
            <w:pPr>
              <w:tabs>
                <w:tab w:val="left" w:pos="1642"/>
              </w:tabs>
              <w:bidi w:val="0"/>
              <w:spacing w:line="240" w:lineRule="auto"/>
              <w:jc w:val="center"/>
              <w:rPr>
                <w:rFonts w:hint="default" w:ascii="仿宋" w:hAnsi="仿宋" w:eastAsia="仿宋" w:cs="仿宋"/>
                <w:szCs w:val="20"/>
                <w:vertAlign w:val="baseline"/>
                <w:lang w:val="en-US" w:eastAsia="zh-CN"/>
              </w:rPr>
            </w:pPr>
          </w:p>
        </w:tc>
        <w:tc>
          <w:tcPr>
            <w:tcW w:w="2059" w:type="dxa"/>
            <w:noWrap w:val="0"/>
            <w:vAlign w:val="center"/>
          </w:tcPr>
          <w:p w14:paraId="10A6E94C">
            <w:pPr>
              <w:tabs>
                <w:tab w:val="left" w:pos="1642"/>
              </w:tabs>
              <w:bidi w:val="0"/>
              <w:spacing w:line="24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PO 52.5</w:t>
            </w:r>
          </w:p>
        </w:tc>
        <w:tc>
          <w:tcPr>
            <w:tcW w:w="2059" w:type="dxa"/>
            <w:noWrap w:val="0"/>
            <w:vAlign w:val="center"/>
          </w:tcPr>
          <w:p w14:paraId="4A3953C9">
            <w:pPr>
              <w:tabs>
                <w:tab w:val="left" w:pos="1642"/>
              </w:tabs>
              <w:bidi w:val="0"/>
              <w:spacing w:line="240" w:lineRule="auto"/>
              <w:jc w:val="center"/>
              <w:rPr>
                <w:rFonts w:hint="default" w:ascii="仿宋" w:hAnsi="仿宋" w:eastAsia="仿宋" w:cs="仿宋"/>
                <w:szCs w:val="20"/>
                <w:vertAlign w:val="baseline"/>
                <w:lang w:val="en-US" w:eastAsia="zh-CN"/>
              </w:rPr>
            </w:pPr>
            <w:r>
              <w:rPr>
                <w:rFonts w:hint="eastAsia" w:ascii="仿宋" w:hAnsi="仿宋" w:eastAsia="仿宋" w:cs="仿宋"/>
                <w:szCs w:val="20"/>
                <w:vertAlign w:val="baseline"/>
                <w:lang w:val="en-US" w:eastAsia="zh-CN"/>
              </w:rPr>
              <w:t>20000.00</w:t>
            </w:r>
          </w:p>
        </w:tc>
        <w:tc>
          <w:tcPr>
            <w:tcW w:w="2059" w:type="dxa"/>
            <w:vMerge w:val="continue"/>
            <w:noWrap w:val="0"/>
            <w:vAlign w:val="center"/>
          </w:tcPr>
          <w:p w14:paraId="5C68B748">
            <w:pPr>
              <w:tabs>
                <w:tab w:val="left" w:pos="1642"/>
              </w:tabs>
              <w:bidi w:val="0"/>
              <w:spacing w:line="240" w:lineRule="auto"/>
              <w:jc w:val="center"/>
              <w:rPr>
                <w:rFonts w:hint="default" w:ascii="仿宋" w:hAnsi="仿宋" w:eastAsia="仿宋" w:cs="仿宋"/>
                <w:szCs w:val="20"/>
                <w:vertAlign w:val="baseline"/>
                <w:lang w:val="en-US" w:eastAsia="zh-CN"/>
              </w:rPr>
            </w:pPr>
          </w:p>
        </w:tc>
        <w:tc>
          <w:tcPr>
            <w:tcW w:w="2321" w:type="dxa"/>
            <w:vMerge w:val="continue"/>
            <w:noWrap w:val="0"/>
            <w:vAlign w:val="center"/>
          </w:tcPr>
          <w:p w14:paraId="505DFDCC">
            <w:pPr>
              <w:tabs>
                <w:tab w:val="left" w:pos="1642"/>
              </w:tabs>
              <w:bidi w:val="0"/>
              <w:spacing w:line="240" w:lineRule="auto"/>
              <w:jc w:val="center"/>
              <w:rPr>
                <w:rFonts w:hint="eastAsia" w:ascii="仿宋" w:hAnsi="仿宋" w:eastAsia="仿宋" w:cs="仿宋"/>
                <w:szCs w:val="20"/>
                <w:vertAlign w:val="baseline"/>
                <w:lang w:val="en-US" w:eastAsia="zh-CN"/>
              </w:rPr>
            </w:pPr>
          </w:p>
        </w:tc>
        <w:tc>
          <w:tcPr>
            <w:tcW w:w="2270" w:type="dxa"/>
            <w:noWrap w:val="0"/>
            <w:vAlign w:val="center"/>
          </w:tcPr>
          <w:p w14:paraId="1A2C22C4">
            <w:pPr>
              <w:tabs>
                <w:tab w:val="left" w:pos="1642"/>
              </w:tabs>
              <w:bidi w:val="0"/>
              <w:spacing w:line="480" w:lineRule="auto"/>
              <w:jc w:val="center"/>
              <w:rPr>
                <w:rFonts w:hint="eastAsia" w:ascii="仿宋" w:hAnsi="仿宋" w:eastAsia="仿宋" w:cs="仿宋"/>
                <w:kern w:val="2"/>
                <w:sz w:val="21"/>
                <w:szCs w:val="24"/>
                <w:vertAlign w:val="baseline"/>
                <w:lang w:val="en-US" w:eastAsia="zh-CN" w:bidi="ar-SA"/>
              </w:rPr>
            </w:pPr>
          </w:p>
        </w:tc>
        <w:tc>
          <w:tcPr>
            <w:tcW w:w="2179" w:type="dxa"/>
            <w:noWrap w:val="0"/>
            <w:vAlign w:val="center"/>
          </w:tcPr>
          <w:p w14:paraId="6372B454">
            <w:pPr>
              <w:tabs>
                <w:tab w:val="left" w:pos="1642"/>
              </w:tabs>
              <w:bidi w:val="0"/>
              <w:spacing w:line="480" w:lineRule="auto"/>
              <w:jc w:val="center"/>
              <w:rPr>
                <w:rFonts w:hint="eastAsia" w:ascii="仿宋" w:hAnsi="仿宋" w:eastAsia="仿宋" w:cs="仿宋"/>
                <w:kern w:val="2"/>
                <w:sz w:val="21"/>
                <w:szCs w:val="24"/>
                <w:vertAlign w:val="baseline"/>
                <w:lang w:val="en-US" w:eastAsia="zh-CN" w:bidi="ar-SA"/>
              </w:rPr>
            </w:pPr>
          </w:p>
        </w:tc>
      </w:tr>
    </w:tbl>
    <w:p w14:paraId="16D08A16">
      <w:pPr>
        <w:tabs>
          <w:tab w:val="left" w:pos="5740"/>
          <w:tab w:val="left" w:pos="10968"/>
        </w:tabs>
        <w:bidi w:val="0"/>
        <w:rPr>
          <w:rFonts w:hint="eastAsia" w:ascii="仿宋" w:hAnsi="仿宋" w:eastAsia="仿宋" w:cs="仿宋"/>
          <w:lang w:val="en-US" w:eastAsia="zh-CN"/>
        </w:rPr>
      </w:pPr>
    </w:p>
    <w:p w14:paraId="174A2071">
      <w:pPr>
        <w:tabs>
          <w:tab w:val="left" w:pos="5740"/>
          <w:tab w:val="left" w:pos="10968"/>
        </w:tabs>
        <w:bidi w:val="0"/>
        <w:rPr>
          <w:rFonts w:hint="eastAsia" w:ascii="仿宋" w:hAnsi="仿宋" w:eastAsia="仿宋" w:cs="仿宋"/>
          <w:lang w:val="en-US" w:eastAsia="zh-CN"/>
        </w:rPr>
      </w:pPr>
      <w:r>
        <w:rPr>
          <w:rFonts w:hint="eastAsia" w:ascii="仿宋" w:hAnsi="仿宋" w:eastAsia="仿宋" w:cs="仿宋"/>
          <w:lang w:val="en-US" w:eastAsia="zh-CN"/>
        </w:rPr>
        <w:t>报价公司名称：                                      联系人：                                   联系方式：</w:t>
      </w:r>
    </w:p>
    <w:p w14:paraId="09E340E9">
      <w:pPr>
        <w:tabs>
          <w:tab w:val="left" w:pos="5740"/>
          <w:tab w:val="left" w:pos="10968"/>
        </w:tabs>
        <w:bidi w:val="0"/>
        <w:rPr>
          <w:rFonts w:hint="eastAsia" w:ascii="仿宋" w:hAnsi="仿宋" w:eastAsia="仿宋" w:cs="仿宋"/>
          <w:lang w:val="en-US" w:eastAsia="zh-CN"/>
        </w:rPr>
      </w:pPr>
    </w:p>
    <w:p w14:paraId="586A52C1">
      <w:pPr>
        <w:keepNext w:val="0"/>
        <w:keepLines w:val="0"/>
        <w:pageBreakBefore w:val="0"/>
        <w:widowControl w:val="0"/>
        <w:tabs>
          <w:tab w:val="left" w:pos="5740"/>
          <w:tab w:val="left" w:pos="10968"/>
        </w:tabs>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说明：①采购公司为赣州市朝耀贸易有限公司，报价公司为供货方，供货方按双方确认的金额和开票信息开具增值税专用发票。</w:t>
      </w:r>
    </w:p>
    <w:p w14:paraId="448D30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②付款方式：按月结算，每月10日前完成上月对账手续，入围供应商提供符合国家规定的发票给采购单位，采购人据实一次性支付上月货款，不计利息。本合同采用按批次结算，并遵循“先开票、后付款”的原则，采购人支付前，供应商应按双方确认的当期结算金额向采购人提供符合要求的等额增值税专用发票，并于发票开具后7日内提交给采购人。采购人视情况以电汇、银行转账、银行承兑汇票等方式支付，以非电汇方式支付的，甲方不另外支付贴息、手续费等费用。采购人付款前，供应商应向采购人开具等额有效的增值税发票，采购人未收到发票的，有权不予支付相应款项直至供应商提供合格发票，采购人不承担延迟付款责任。发票认证通过是付款的必要前提之一。</w:t>
      </w:r>
    </w:p>
    <w:p w14:paraId="7FCD9A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420" w:firstLineChars="200"/>
        <w:jc w:val="both"/>
        <w:textAlignment w:val="auto"/>
      </w:pPr>
      <w:r>
        <w:rPr>
          <w:rFonts w:hint="eastAsia" w:ascii="仿宋" w:hAnsi="仿宋" w:eastAsia="仿宋" w:cs="仿宋"/>
          <w:kern w:val="2"/>
          <w:sz w:val="21"/>
          <w:szCs w:val="21"/>
          <w:lang w:val="en-US" w:eastAsia="zh-CN" w:bidi="ar-SA"/>
        </w:rPr>
        <w:t>注：调价机制：采购单位按当月供货数量×（结算基准价±调价金额）进行核算。“结算基准价”是指入围供应商在第二阶段所报价格；“调价金额”是指入围之后生产厂家提供的调价函。如当次结算未调价，则按照入围供应商第二阶段所报价格为结算基准价。</w:t>
      </w:r>
    </w:p>
    <w:sectPr>
      <w:pgSz w:w="16838" w:h="11906" w:orient="landscape"/>
      <w:pgMar w:top="1587" w:right="2098" w:bottom="1474" w:left="1984" w:header="851" w:footer="155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Mono CJK JP Regular">
    <w:altName w:val="新宋体"/>
    <w:panose1 w:val="00000000000000000000"/>
    <w:charset w:val="00"/>
    <w:family w:val="swiss"/>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F084C"/>
    <w:rsid w:val="054B556E"/>
    <w:rsid w:val="0EFB2D4A"/>
    <w:rsid w:val="11E87DF2"/>
    <w:rsid w:val="2BFC4A89"/>
    <w:rsid w:val="2C3F084C"/>
    <w:rsid w:val="2EE210D4"/>
    <w:rsid w:val="3E021313"/>
    <w:rsid w:val="411B3B8E"/>
    <w:rsid w:val="44037B55"/>
    <w:rsid w:val="49A06C32"/>
    <w:rsid w:val="4D2B5774"/>
    <w:rsid w:val="5C1917E6"/>
    <w:rsid w:val="74DA706B"/>
    <w:rsid w:val="7D7B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sz w:val="32"/>
      <w:szCs w:val="24"/>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643" w:firstLineChars="200"/>
      <w:outlineLvl w:val="2"/>
    </w:pPr>
    <w:rPr>
      <w:rFonts w:eastAsia="楷体_GB2312"/>
      <w:b/>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Noto Sans Mono CJK JP Regular" w:hAnsi="Noto Sans Mono CJK JP Regular" w:cs="Noto Sans Mono CJK JP Regular"/>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2025-05-26T09:19:00Z</dcterms:created>
  <dc:creator>东南十三里。</dc:creator>
  <cp:lastModifiedBy>东南十三里。</cp:lastModifiedBy>
  <dcterms:modified xsi:type="dcterms:W3CDTF">2025-05-26T09:19:36Z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5E3A761CFD8C4ACFB535CF0F74270AC3_11</vt:lpwstr>
  </property>
  <property fmtid="{D5CDD505-2E9C-101B-9397-08002B2CF9AE}" pid="4" name="KSOTemplateDocerSaveRecord">
    <vt:lpwstr>eyJoZGlkIjoiNTNiMjUyNGI1MTQ1MmE0ZjNlNWRlY2M5MThiMDhjY2UiLCJ1c2VySWQiOiIzMjIxMzQxODMifQ==</vt:lpwstr>
  </property>
</Properties>
</file>