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0759">
      <w:pPr>
        <w:spacing w:before="98" w:line="221" w:lineRule="auto"/>
        <w:jc w:val="center"/>
        <w:rPr>
          <w:rFonts w:ascii="黑体" w:hAnsi="黑体" w:eastAsia="黑体" w:cs="黑体"/>
          <w:sz w:val="47"/>
          <w:szCs w:val="47"/>
        </w:rPr>
      </w:pP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G357南康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区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唐江至罗边段公路改建工程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val="en-US" w:eastAsia="zh-CN"/>
        </w:rPr>
        <w:t>施工图设计审核</w:t>
      </w:r>
      <w:r>
        <w:rPr>
          <w:rFonts w:hint="eastAsia" w:ascii="黑体" w:hAnsi="黑体" w:eastAsia="黑体" w:cs="黑体"/>
          <w:b/>
          <w:bCs/>
          <w:spacing w:val="-4"/>
          <w:sz w:val="47"/>
          <w:szCs w:val="47"/>
          <w:lang w:eastAsia="zh-CN"/>
        </w:rPr>
        <w:t>报</w:t>
      </w:r>
      <w:r>
        <w:rPr>
          <w:rFonts w:ascii="黑体" w:hAnsi="黑体" w:eastAsia="黑体" w:cs="黑体"/>
          <w:b/>
          <w:bCs/>
          <w:spacing w:val="-4"/>
          <w:sz w:val="47"/>
          <w:szCs w:val="47"/>
        </w:rPr>
        <w:t>价表</w:t>
      </w:r>
    </w:p>
    <w:p w14:paraId="796D5EA6">
      <w:pPr>
        <w:spacing w:before="167" w:line="390" w:lineRule="auto"/>
        <w:ind w:right="1366"/>
        <w:rPr>
          <w:rFonts w:ascii="黑体" w:hAnsi="黑体" w:eastAsia="黑体" w:cs="黑体"/>
          <w:spacing w:val="-1"/>
          <w:sz w:val="30"/>
          <w:szCs w:val="30"/>
        </w:rPr>
      </w:pPr>
    </w:p>
    <w:p w14:paraId="2D0CEC87">
      <w:pPr>
        <w:spacing w:before="167" w:line="390" w:lineRule="auto"/>
        <w:ind w:right="1366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"/>
          <w:sz w:val="30"/>
          <w:szCs w:val="30"/>
        </w:rPr>
        <w:t>项目名称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：G357南康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区</w:t>
      </w: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唐江至罗边段公路改建工程</w:t>
      </w:r>
    </w:p>
    <w:p w14:paraId="3A088A47">
      <w:pPr>
        <w:spacing w:before="167" w:line="390" w:lineRule="auto"/>
        <w:ind w:right="13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报价时间：</w:t>
      </w:r>
    </w:p>
    <w:p w14:paraId="248A3DE8">
      <w:pPr>
        <w:spacing w:line="88" w:lineRule="exact"/>
      </w:pPr>
    </w:p>
    <w:tbl>
      <w:tblPr>
        <w:tblStyle w:val="4"/>
        <w:tblW w:w="8847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60"/>
        <w:gridCol w:w="1695"/>
        <w:gridCol w:w="900"/>
        <w:gridCol w:w="957"/>
        <w:gridCol w:w="1012"/>
        <w:gridCol w:w="994"/>
        <w:gridCol w:w="1125"/>
      </w:tblGrid>
      <w:tr w14:paraId="4A2C0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204" w:type="dxa"/>
            <w:vAlign w:val="top"/>
          </w:tcPr>
          <w:p w14:paraId="182E5A62">
            <w:pPr>
              <w:spacing w:before="56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建设单位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7643" w:type="dxa"/>
            <w:gridSpan w:val="7"/>
            <w:vAlign w:val="top"/>
          </w:tcPr>
          <w:p w14:paraId="063E7C8B">
            <w:pPr>
              <w:spacing w:before="53" w:line="217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赣州市南康区城发集团工程投资管理有限公司</w:t>
            </w:r>
          </w:p>
        </w:tc>
      </w:tr>
      <w:tr w14:paraId="5081F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64" w:type="dxa"/>
            <w:gridSpan w:val="2"/>
            <w:vAlign w:val="top"/>
          </w:tcPr>
          <w:p w14:paraId="07A1FA13">
            <w:pPr>
              <w:spacing w:before="62" w:line="214" w:lineRule="auto"/>
              <w:ind w:left="15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联系人：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吴光飞</w:t>
            </w:r>
          </w:p>
        </w:tc>
        <w:tc>
          <w:tcPr>
            <w:tcW w:w="6683" w:type="dxa"/>
            <w:gridSpan w:val="6"/>
            <w:vAlign w:val="top"/>
          </w:tcPr>
          <w:p w14:paraId="463E2E3A">
            <w:pPr>
              <w:spacing w:before="62" w:line="214" w:lineRule="auto"/>
              <w:ind w:left="13"/>
              <w:jc w:val="left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联系方式：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18679077750</w:t>
            </w:r>
          </w:p>
        </w:tc>
      </w:tr>
      <w:tr w14:paraId="000B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04" w:type="dxa"/>
            <w:vAlign w:val="top"/>
          </w:tcPr>
          <w:p w14:paraId="5868B6DF">
            <w:pPr>
              <w:spacing w:before="39" w:line="208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基本情况</w:t>
            </w:r>
          </w:p>
        </w:tc>
        <w:tc>
          <w:tcPr>
            <w:tcW w:w="7643" w:type="dxa"/>
            <w:gridSpan w:val="7"/>
            <w:vAlign w:val="top"/>
          </w:tcPr>
          <w:p w14:paraId="42460D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G357南康区唐江至罗边段公路改建工程，项目起点为已建成城西大道的终点处，止于南康区与上犹县交界的杉下，路线全长4.1公里。全线采用一级公路标准建设，设计速度80公里/小时，路基宽25.5米，双向四车道，路面结构采用沥青混凝土路面。</w:t>
            </w:r>
          </w:p>
        </w:tc>
      </w:tr>
      <w:tr w14:paraId="2BC6A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04" w:type="dxa"/>
            <w:vAlign w:val="top"/>
          </w:tcPr>
          <w:p w14:paraId="08ADC3E3">
            <w:pPr>
              <w:spacing w:before="62" w:line="215" w:lineRule="auto"/>
              <w:ind w:left="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付款方式</w:t>
            </w:r>
          </w:p>
        </w:tc>
        <w:tc>
          <w:tcPr>
            <w:tcW w:w="7643" w:type="dxa"/>
            <w:gridSpan w:val="7"/>
            <w:vAlign w:val="top"/>
          </w:tcPr>
          <w:p w14:paraId="4016034A">
            <w:pPr>
              <w:spacing w:before="62" w:line="215" w:lineRule="auto"/>
              <w:ind w:left="2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按合同约定付款</w:t>
            </w:r>
          </w:p>
        </w:tc>
      </w:tr>
      <w:tr w14:paraId="6D7E6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847" w:type="dxa"/>
            <w:gridSpan w:val="8"/>
            <w:vAlign w:val="top"/>
          </w:tcPr>
          <w:p w14:paraId="7560DDF9">
            <w:pPr>
              <w:spacing w:before="50" w:line="216" w:lineRule="auto"/>
              <w:ind w:left="38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公路工程图纸审核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报价表</w:t>
            </w:r>
          </w:p>
        </w:tc>
      </w:tr>
      <w:tr w14:paraId="34A1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04" w:type="dxa"/>
            <w:vMerge w:val="restart"/>
            <w:vAlign w:val="top"/>
          </w:tcPr>
          <w:p w14:paraId="55945C0D">
            <w:pPr>
              <w:pStyle w:val="5"/>
              <w:jc w:val="center"/>
            </w:pPr>
          </w:p>
          <w:p w14:paraId="79759D25">
            <w:pPr>
              <w:pStyle w:val="5"/>
              <w:jc w:val="center"/>
            </w:pPr>
          </w:p>
          <w:p w14:paraId="466EE354">
            <w:pPr>
              <w:pStyle w:val="5"/>
              <w:jc w:val="center"/>
            </w:pPr>
          </w:p>
          <w:p w14:paraId="5207B453">
            <w:pPr>
              <w:pStyle w:val="5"/>
              <w:spacing w:line="241" w:lineRule="auto"/>
              <w:jc w:val="both"/>
            </w:pPr>
          </w:p>
          <w:p w14:paraId="3D9B562A">
            <w:pPr>
              <w:pStyle w:val="5"/>
              <w:spacing w:line="241" w:lineRule="auto"/>
              <w:jc w:val="center"/>
            </w:pPr>
          </w:p>
          <w:p w14:paraId="745F87E8">
            <w:pPr>
              <w:spacing w:before="75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报价内容</w:t>
            </w:r>
          </w:p>
        </w:tc>
        <w:tc>
          <w:tcPr>
            <w:tcW w:w="960" w:type="dxa"/>
            <w:vAlign w:val="top"/>
          </w:tcPr>
          <w:p w14:paraId="38011E4D">
            <w:pPr>
              <w:spacing w:before="53" w:line="205" w:lineRule="auto"/>
              <w:ind w:left="1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695" w:type="dxa"/>
            <w:vAlign w:val="top"/>
          </w:tcPr>
          <w:p w14:paraId="0690FA07">
            <w:pPr>
              <w:spacing w:before="52" w:line="206" w:lineRule="auto"/>
              <w:ind w:left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图审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内容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top"/>
          </w:tcPr>
          <w:p w14:paraId="2C5044FF">
            <w:pPr>
              <w:spacing w:before="53" w:line="205" w:lineRule="auto"/>
              <w:ind w:left="14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vAlign w:val="top"/>
          </w:tcPr>
          <w:p w14:paraId="060537F2">
            <w:pPr>
              <w:spacing w:before="52" w:line="206" w:lineRule="auto"/>
              <w:ind w:left="32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012" w:type="dxa"/>
            <w:tcBorders>
              <w:bottom w:val="single" w:color="auto" w:sz="4" w:space="0"/>
            </w:tcBorders>
            <w:vAlign w:val="top"/>
          </w:tcPr>
          <w:p w14:paraId="54A07356">
            <w:pPr>
              <w:spacing w:before="49" w:line="208" w:lineRule="auto"/>
              <w:ind w:left="3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综合单价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vAlign w:val="top"/>
          </w:tcPr>
          <w:p w14:paraId="24F77DD5">
            <w:pPr>
              <w:spacing w:before="49" w:line="208" w:lineRule="auto"/>
              <w:ind w:left="3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综合总价</w:t>
            </w:r>
          </w:p>
        </w:tc>
        <w:tc>
          <w:tcPr>
            <w:tcW w:w="1125" w:type="dxa"/>
            <w:vAlign w:val="top"/>
          </w:tcPr>
          <w:p w14:paraId="7AF96D75">
            <w:pPr>
              <w:spacing w:before="53" w:line="205" w:lineRule="auto"/>
              <w:ind w:left="39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备注</w:t>
            </w:r>
          </w:p>
        </w:tc>
      </w:tr>
      <w:tr w14:paraId="3D3D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4" w:type="dxa"/>
            <w:vMerge w:val="continue"/>
            <w:vAlign w:val="top"/>
          </w:tcPr>
          <w:p w14:paraId="22C9D42D">
            <w:pPr>
              <w:pStyle w:val="5"/>
              <w:jc w:val="center"/>
            </w:pPr>
          </w:p>
        </w:tc>
        <w:tc>
          <w:tcPr>
            <w:tcW w:w="960" w:type="dxa"/>
            <w:vAlign w:val="top"/>
          </w:tcPr>
          <w:p w14:paraId="16111D97">
            <w:pPr>
              <w:spacing w:before="227" w:line="241" w:lineRule="auto"/>
              <w:ind w:left="19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 w14:paraId="22CFB697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项目的合规性审查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203168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52E7ED2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6C67E80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28DC5A5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463E1DF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45CBB08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44C25EBA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项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6D5073E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618A455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46EFC54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6C70512B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2F857DA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204F669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  <w:p w14:paraId="195DEF91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5485E37">
            <w:pPr>
              <w:pStyle w:val="5"/>
              <w:jc w:val="center"/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A281DD6">
            <w:pPr>
              <w:pStyle w:val="5"/>
              <w:jc w:val="center"/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</w:tcBorders>
            <w:vAlign w:val="top"/>
          </w:tcPr>
          <w:p w14:paraId="186AF1C7">
            <w:pPr>
              <w:pStyle w:val="5"/>
              <w:jc w:val="center"/>
            </w:pPr>
          </w:p>
        </w:tc>
      </w:tr>
      <w:tr w14:paraId="11519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04" w:type="dxa"/>
            <w:vMerge w:val="continue"/>
            <w:vAlign w:val="top"/>
          </w:tcPr>
          <w:p w14:paraId="10F59B7C">
            <w:pPr>
              <w:pStyle w:val="5"/>
              <w:jc w:val="center"/>
            </w:pPr>
          </w:p>
        </w:tc>
        <w:tc>
          <w:tcPr>
            <w:tcW w:w="960" w:type="dxa"/>
            <w:vAlign w:val="top"/>
          </w:tcPr>
          <w:p w14:paraId="3E684CEE">
            <w:pPr>
              <w:spacing w:before="207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 w14:paraId="5087D4D0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建设规模及技术标准的合理性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85205F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952ED9C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E871DBE">
            <w:pPr>
              <w:pStyle w:val="5"/>
              <w:jc w:val="center"/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752EBF">
            <w:pPr>
              <w:pStyle w:val="5"/>
              <w:jc w:val="center"/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69980BD0">
            <w:pPr>
              <w:pStyle w:val="5"/>
              <w:jc w:val="center"/>
            </w:pPr>
          </w:p>
        </w:tc>
      </w:tr>
      <w:tr w14:paraId="54D6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04" w:type="dxa"/>
            <w:vMerge w:val="continue"/>
            <w:vAlign w:val="top"/>
          </w:tcPr>
          <w:p w14:paraId="0D62F4F5">
            <w:pPr>
              <w:pStyle w:val="5"/>
              <w:jc w:val="center"/>
            </w:pPr>
          </w:p>
        </w:tc>
        <w:tc>
          <w:tcPr>
            <w:tcW w:w="960" w:type="dxa"/>
            <w:vAlign w:val="top"/>
          </w:tcPr>
          <w:p w14:paraId="0DC77359">
            <w:pPr>
              <w:spacing w:before="239" w:line="241" w:lineRule="auto"/>
              <w:ind w:left="19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 w14:paraId="003F3C16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设计方案的合理性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94C6BF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29CBE4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9163F0">
            <w:pPr>
              <w:pStyle w:val="5"/>
              <w:jc w:val="center"/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5FD8BF0">
            <w:pPr>
              <w:pStyle w:val="5"/>
              <w:jc w:val="center"/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197EA426">
            <w:pPr>
              <w:pStyle w:val="5"/>
              <w:jc w:val="center"/>
            </w:pPr>
          </w:p>
        </w:tc>
      </w:tr>
      <w:tr w14:paraId="6BFE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04" w:type="dxa"/>
            <w:vMerge w:val="continue"/>
            <w:vAlign w:val="top"/>
          </w:tcPr>
          <w:p w14:paraId="4C4166A5">
            <w:pPr>
              <w:pStyle w:val="5"/>
              <w:jc w:val="center"/>
            </w:pPr>
          </w:p>
        </w:tc>
        <w:tc>
          <w:tcPr>
            <w:tcW w:w="960" w:type="dxa"/>
            <w:vAlign w:val="top"/>
          </w:tcPr>
          <w:p w14:paraId="779FF3BA">
            <w:pPr>
              <w:spacing w:before="239" w:line="241" w:lineRule="auto"/>
              <w:ind w:left="192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 w14:paraId="7E2AB8A1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工程方案的经济性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8458652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551D980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0B4300F">
            <w:pPr>
              <w:pStyle w:val="5"/>
              <w:jc w:val="center"/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F162B44">
            <w:pPr>
              <w:pStyle w:val="5"/>
              <w:jc w:val="center"/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FCDC9C5">
            <w:pPr>
              <w:pStyle w:val="5"/>
              <w:jc w:val="center"/>
            </w:pPr>
          </w:p>
        </w:tc>
      </w:tr>
      <w:tr w14:paraId="467FC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04" w:type="dxa"/>
            <w:vMerge w:val="continue"/>
            <w:tcBorders>
              <w:bottom w:val="nil"/>
            </w:tcBorders>
            <w:vAlign w:val="top"/>
          </w:tcPr>
          <w:p w14:paraId="41C8B60F">
            <w:pPr>
              <w:pStyle w:val="5"/>
              <w:jc w:val="center"/>
            </w:pPr>
          </w:p>
        </w:tc>
        <w:tc>
          <w:tcPr>
            <w:tcW w:w="960" w:type="dxa"/>
            <w:vAlign w:val="top"/>
          </w:tcPr>
          <w:p w14:paraId="7076FF9F">
            <w:pPr>
              <w:spacing w:before="239" w:line="241" w:lineRule="auto"/>
              <w:ind w:left="192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vAlign w:val="top"/>
          </w:tcPr>
          <w:p w14:paraId="5C4A2196">
            <w:pPr>
              <w:spacing w:before="67" w:line="210" w:lineRule="auto"/>
              <w:ind w:left="2"/>
              <w:jc w:val="center"/>
              <w:rPr>
                <w:rFonts w:hint="default" w:ascii="宋体" w:hAnsi="宋体" w:eastAsia="宋体" w:cs="宋体"/>
                <w:spacing w:val="1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val="en-US" w:eastAsia="zh-CN"/>
              </w:rPr>
              <w:t>咨询审查报告编制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D197A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D052F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8CA9D">
            <w:pPr>
              <w:pStyle w:val="5"/>
              <w:jc w:val="center"/>
            </w:pPr>
          </w:p>
        </w:tc>
        <w:tc>
          <w:tcPr>
            <w:tcW w:w="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DF849">
            <w:pPr>
              <w:pStyle w:val="5"/>
              <w:jc w:val="center"/>
            </w:pP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2CC583FC">
            <w:pPr>
              <w:pStyle w:val="5"/>
              <w:jc w:val="center"/>
            </w:pPr>
          </w:p>
        </w:tc>
      </w:tr>
      <w:tr w14:paraId="6BEA1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47" w:type="dxa"/>
            <w:gridSpan w:val="8"/>
            <w:vAlign w:val="top"/>
          </w:tcPr>
          <w:p w14:paraId="5C94CD0B">
            <w:pPr>
              <w:spacing w:before="58" w:line="213" w:lineRule="auto"/>
              <w:ind w:left="15"/>
              <w:jc w:val="left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注：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图审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按现场实际情况为准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，出具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图审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报告</w:t>
            </w:r>
            <w:bookmarkStart w:id="0" w:name="_GoBack"/>
            <w:bookmarkEnd w:id="0"/>
          </w:p>
        </w:tc>
      </w:tr>
    </w:tbl>
    <w:p w14:paraId="39B8786F">
      <w:pPr>
        <w:spacing w:line="275" w:lineRule="auto"/>
        <w:rPr>
          <w:rFonts w:ascii="Arial"/>
          <w:sz w:val="21"/>
        </w:rPr>
      </w:pPr>
    </w:p>
    <w:p w14:paraId="3B6170BE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报价单位（公章）：</w:t>
      </w:r>
    </w:p>
    <w:p w14:paraId="624746A3">
      <w:pPr>
        <w:spacing w:before="76" w:line="224" w:lineRule="auto"/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</w:pPr>
    </w:p>
    <w:p w14:paraId="3BC5C7F2">
      <w:pPr>
        <w:spacing w:before="76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1"/>
          <w:sz w:val="30"/>
          <w:szCs w:val="30"/>
          <w:lang w:eastAsia="zh-CN"/>
        </w:rPr>
        <w:t>联系人：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 xml:space="preserve">               </w:t>
      </w:r>
      <w:r>
        <w:rPr>
          <w:rFonts w:ascii="黑体" w:hAnsi="黑体" w:eastAsia="黑体" w:cs="黑体"/>
          <w:spacing w:val="-1"/>
          <w:sz w:val="30"/>
          <w:szCs w:val="30"/>
        </w:rPr>
        <w:t xml:space="preserve"> 电话：</w:t>
      </w:r>
    </w:p>
    <w:sectPr>
      <w:pgSz w:w="11660" w:h="16840"/>
      <w:pgMar w:top="2098" w:right="1587" w:bottom="209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555083"/>
    <w:rsid w:val="2118244F"/>
    <w:rsid w:val="21512462"/>
    <w:rsid w:val="262763E9"/>
    <w:rsid w:val="35CE1B2D"/>
    <w:rsid w:val="41833EEA"/>
    <w:rsid w:val="49166616"/>
    <w:rsid w:val="4D9A3D6D"/>
    <w:rsid w:val="54906FCA"/>
    <w:rsid w:val="5D1F57FB"/>
    <w:rsid w:val="62B75CD7"/>
    <w:rsid w:val="75B61EF5"/>
    <w:rsid w:val="7DFE5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368</Characters>
  <TotalTime>0</TotalTime>
  <ScaleCrop>false</ScaleCrop>
  <LinksUpToDate>false</LinksUpToDate>
  <CharactersWithSpaces>384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2025-12-03T16:53:00Z</dcterms:created>
  <dc:creator>Administrator</dc:creator>
  <cp:lastModifiedBy>吴光飞</cp:lastModifiedBy>
  <cp:lastPrinted>2026-04-20T01:01:03Z</cp:lastPrinted>
  <dcterms:modified xsi:type="dcterms:W3CDTF">2026-04-20T06:54:07Z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2025-12-03T16:53:30Z</vt:filetime>
  </property>
  <property fmtid="{D5CDD505-2E9C-101B-9397-08002B2CF9AE}" pid="4" name="UsrData">
    <vt:lpwstr>692ffa860c9584001fec2c19wl</vt:lpwstr>
  </property>
  <property fmtid="{D5CDD505-2E9C-101B-9397-08002B2CF9AE}" pid="5" name="KSOTemplateDocerSaveRecord">
    <vt:lpwstr>eyJoZGlkIjoiYzBlYjI1YWI1ZDQyNmFlNTM3NmZjZTJkYzhhZTUyMDgiLCJ1c2VySWQiOiI0MTE0NjQ1ODMifQ==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650A5B63EC6444B696735FC848C8DF94_13</vt:lpwstr>
  </property>
</Properties>
</file>