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B0759">
      <w:pPr>
        <w:spacing w:before="98" w:line="221" w:lineRule="auto"/>
        <w:jc w:val="center"/>
        <w:rPr>
          <w:rFonts w:ascii="黑体" w:hAnsi="黑体" w:eastAsia="黑体" w:cs="黑体"/>
          <w:sz w:val="47"/>
          <w:szCs w:val="47"/>
        </w:rPr>
      </w:pPr>
      <w:r>
        <w:rPr>
          <w:rFonts w:hint="eastAsia" w:ascii="黑体" w:hAnsi="黑体" w:eastAsia="黑体" w:cs="黑体"/>
          <w:sz w:val="40"/>
          <w:szCs w:val="48"/>
          <w:lang w:val="en-US" w:eastAsia="zh-CN"/>
        </w:rPr>
        <w:t>赣粤产业合作区南康片区机器人产业园项目一期工程社会稳定风险评估服务报价表</w:t>
      </w:r>
    </w:p>
    <w:p w14:paraId="796D5EA6">
      <w:pPr>
        <w:spacing w:before="167" w:line="390" w:lineRule="auto"/>
        <w:ind w:right="1366"/>
        <w:rPr>
          <w:rFonts w:ascii="黑体" w:hAnsi="黑体" w:eastAsia="黑体" w:cs="黑体"/>
          <w:spacing w:val="-1"/>
          <w:sz w:val="30"/>
          <w:szCs w:val="30"/>
        </w:rPr>
      </w:pPr>
    </w:p>
    <w:p w14:paraId="2D0CEC87">
      <w:pPr>
        <w:spacing w:before="167" w:line="390" w:lineRule="auto"/>
        <w:ind w:right="86" w:rightChars="0"/>
        <w:rPr>
          <w:rFonts w:hint="eastAsia" w:ascii="黑体" w:hAnsi="黑体" w:eastAsia="黑体" w:cs="黑体"/>
          <w:spacing w:val="-1"/>
          <w:sz w:val="30"/>
          <w:szCs w:val="30"/>
          <w:lang w:eastAsia="zh-CN"/>
        </w:rPr>
      </w:pPr>
      <w:r>
        <w:rPr>
          <w:rFonts w:ascii="黑体" w:hAnsi="黑体" w:eastAsia="黑体" w:cs="黑体"/>
          <w:spacing w:val="-1"/>
          <w:sz w:val="30"/>
          <w:szCs w:val="30"/>
        </w:rPr>
        <w:t>项目名称</w:t>
      </w:r>
      <w:r>
        <w:rPr>
          <w:rFonts w:hint="eastAsia" w:ascii="黑体" w:hAnsi="黑体" w:eastAsia="黑体" w:cs="黑体"/>
          <w:spacing w:val="-1"/>
          <w:sz w:val="30"/>
          <w:szCs w:val="30"/>
          <w:lang w:eastAsia="zh-CN"/>
        </w:rPr>
        <w:t>：</w:t>
      </w:r>
      <w:r>
        <w:rPr>
          <w:rFonts w:hint="eastAsia" w:ascii="黑体" w:hAnsi="黑体" w:eastAsia="黑体" w:cs="黑体"/>
          <w:spacing w:val="-1"/>
          <w:sz w:val="30"/>
          <w:szCs w:val="30"/>
          <w:lang w:val="en-US" w:eastAsia="zh-CN"/>
        </w:rPr>
        <w:t>赣粤产业合作区南康片区机器人产业园项目一期工程</w:t>
      </w:r>
    </w:p>
    <w:p w14:paraId="3A088A47">
      <w:pPr>
        <w:spacing w:before="167" w:line="390" w:lineRule="auto"/>
        <w:ind w:right="1366"/>
        <w:rPr>
          <w:rFonts w:ascii="黑体" w:hAnsi="黑体" w:eastAsia="黑体" w:cs="黑体"/>
          <w:sz w:val="30"/>
          <w:szCs w:val="30"/>
        </w:rPr>
      </w:pPr>
      <w:r>
        <w:rPr>
          <w:rFonts w:ascii="黑体" w:hAnsi="黑体" w:eastAsia="黑体" w:cs="黑体"/>
          <w:b/>
          <w:bCs/>
          <w:spacing w:val="18"/>
          <w:sz w:val="30"/>
          <w:szCs w:val="30"/>
        </w:rPr>
        <w:t>报价时间：</w:t>
      </w:r>
    </w:p>
    <w:p w14:paraId="248A3DE8">
      <w:pPr>
        <w:spacing w:line="88" w:lineRule="exact"/>
      </w:pPr>
    </w:p>
    <w:tbl>
      <w:tblPr>
        <w:tblStyle w:val="5"/>
        <w:tblW w:w="8879"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0"/>
        <w:gridCol w:w="677"/>
        <w:gridCol w:w="1824"/>
        <w:gridCol w:w="902"/>
        <w:gridCol w:w="959"/>
        <w:gridCol w:w="2011"/>
        <w:gridCol w:w="1136"/>
      </w:tblGrid>
      <w:tr w14:paraId="4A2C0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370" w:type="dxa"/>
            <w:vAlign w:val="top"/>
          </w:tcPr>
          <w:p w14:paraId="182E5A62">
            <w:pPr>
              <w:spacing w:before="56" w:line="215" w:lineRule="auto"/>
              <w:ind w:left="15"/>
              <w:jc w:val="center"/>
              <w:rPr>
                <w:rFonts w:ascii="宋体" w:hAnsi="宋体" w:eastAsia="宋体" w:cs="宋体"/>
                <w:sz w:val="23"/>
                <w:szCs w:val="23"/>
              </w:rPr>
            </w:pPr>
            <w:r>
              <w:rPr>
                <w:rFonts w:hint="eastAsia" w:ascii="宋体" w:hAnsi="宋体" w:eastAsia="宋体" w:cs="宋体"/>
                <w:spacing w:val="5"/>
                <w:sz w:val="23"/>
                <w:szCs w:val="23"/>
                <w:lang w:val="en-US" w:eastAsia="zh-CN"/>
              </w:rPr>
              <w:t>询价</w:t>
            </w:r>
            <w:r>
              <w:rPr>
                <w:rFonts w:hint="eastAsia" w:ascii="宋体" w:hAnsi="宋体" w:eastAsia="宋体" w:cs="宋体"/>
                <w:spacing w:val="5"/>
                <w:sz w:val="23"/>
                <w:szCs w:val="23"/>
                <w:lang w:eastAsia="zh-CN"/>
              </w:rPr>
              <w:t>单位</w:t>
            </w:r>
            <w:r>
              <w:rPr>
                <w:rFonts w:ascii="宋体" w:hAnsi="宋体" w:eastAsia="宋体" w:cs="宋体"/>
                <w:spacing w:val="5"/>
                <w:sz w:val="23"/>
                <w:szCs w:val="23"/>
              </w:rPr>
              <w:t>:</w:t>
            </w:r>
          </w:p>
        </w:tc>
        <w:tc>
          <w:tcPr>
            <w:tcW w:w="7509" w:type="dxa"/>
            <w:gridSpan w:val="6"/>
            <w:vAlign w:val="top"/>
          </w:tcPr>
          <w:p w14:paraId="063E7C8B">
            <w:pPr>
              <w:spacing w:before="53" w:line="217" w:lineRule="auto"/>
              <w:ind w:left="2"/>
              <w:jc w:val="left"/>
              <w:rPr>
                <w:rFonts w:ascii="宋体" w:hAnsi="宋体" w:eastAsia="宋体" w:cs="宋体"/>
                <w:sz w:val="23"/>
                <w:szCs w:val="23"/>
              </w:rPr>
            </w:pPr>
            <w:r>
              <w:rPr>
                <w:rFonts w:hint="eastAsia" w:ascii="宋体" w:hAnsi="宋体" w:eastAsia="宋体" w:cs="宋体"/>
                <w:spacing w:val="5"/>
                <w:sz w:val="23"/>
                <w:szCs w:val="23"/>
                <w:lang w:val="en-US" w:eastAsia="zh-CN"/>
              </w:rPr>
              <w:t>赣州市南康区城市建设发展集团有限公司</w:t>
            </w:r>
          </w:p>
        </w:tc>
      </w:tr>
      <w:tr w14:paraId="5081F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2047" w:type="dxa"/>
            <w:gridSpan w:val="2"/>
            <w:vAlign w:val="top"/>
          </w:tcPr>
          <w:p w14:paraId="07A1FA13">
            <w:pPr>
              <w:spacing w:before="62" w:line="214" w:lineRule="auto"/>
              <w:ind w:left="15"/>
              <w:jc w:val="center"/>
              <w:rPr>
                <w:rFonts w:hint="default" w:ascii="宋体" w:hAnsi="宋体" w:eastAsia="宋体" w:cs="宋体"/>
                <w:sz w:val="23"/>
                <w:szCs w:val="23"/>
                <w:lang w:val="en-US" w:eastAsia="zh-CN"/>
              </w:rPr>
            </w:pPr>
            <w:r>
              <w:rPr>
                <w:rFonts w:ascii="宋体" w:hAnsi="宋体" w:eastAsia="宋体" w:cs="宋体"/>
                <w:spacing w:val="1"/>
                <w:sz w:val="23"/>
                <w:szCs w:val="23"/>
              </w:rPr>
              <w:t>联系人：</w:t>
            </w:r>
            <w:r>
              <w:rPr>
                <w:rFonts w:hint="eastAsia" w:ascii="宋体" w:hAnsi="宋体" w:eastAsia="宋体" w:cs="宋体"/>
                <w:spacing w:val="1"/>
                <w:sz w:val="23"/>
                <w:szCs w:val="23"/>
                <w:lang w:val="en-US" w:eastAsia="zh-CN"/>
              </w:rPr>
              <w:t>谢志健</w:t>
            </w:r>
          </w:p>
        </w:tc>
        <w:tc>
          <w:tcPr>
            <w:tcW w:w="6832" w:type="dxa"/>
            <w:gridSpan w:val="5"/>
            <w:vAlign w:val="top"/>
          </w:tcPr>
          <w:p w14:paraId="463E2E3A">
            <w:pPr>
              <w:spacing w:before="62" w:line="214" w:lineRule="auto"/>
              <w:ind w:left="13"/>
              <w:jc w:val="left"/>
              <w:rPr>
                <w:rFonts w:hint="default" w:ascii="宋体" w:hAnsi="宋体" w:eastAsia="宋体" w:cs="宋体"/>
                <w:sz w:val="23"/>
                <w:szCs w:val="23"/>
                <w:lang w:val="en-US" w:eastAsia="zh-CN"/>
              </w:rPr>
            </w:pPr>
            <w:r>
              <w:rPr>
                <w:rFonts w:ascii="宋体" w:hAnsi="宋体" w:eastAsia="宋体" w:cs="宋体"/>
                <w:spacing w:val="-1"/>
                <w:sz w:val="23"/>
                <w:szCs w:val="23"/>
              </w:rPr>
              <w:t>联系方式：</w:t>
            </w:r>
            <w:r>
              <w:rPr>
                <w:rFonts w:hint="eastAsia" w:ascii="宋体" w:hAnsi="宋体" w:eastAsia="宋体" w:cs="宋体"/>
                <w:spacing w:val="-1"/>
                <w:sz w:val="23"/>
                <w:szCs w:val="23"/>
                <w:lang w:val="en-US" w:eastAsia="zh-CN"/>
              </w:rPr>
              <w:t>19970777521</w:t>
            </w:r>
          </w:p>
        </w:tc>
      </w:tr>
      <w:tr w14:paraId="000BA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7" w:hRule="atLeast"/>
        </w:trPr>
        <w:tc>
          <w:tcPr>
            <w:tcW w:w="1370" w:type="dxa"/>
            <w:vAlign w:val="top"/>
          </w:tcPr>
          <w:p w14:paraId="5868B6DF">
            <w:pPr>
              <w:spacing w:before="39" w:line="208" w:lineRule="auto"/>
              <w:ind w:left="15"/>
              <w:jc w:val="center"/>
              <w:rPr>
                <w:rFonts w:ascii="宋体" w:hAnsi="宋体" w:eastAsia="宋体" w:cs="宋体"/>
                <w:sz w:val="23"/>
                <w:szCs w:val="23"/>
              </w:rPr>
            </w:pPr>
            <w:r>
              <w:rPr>
                <w:rFonts w:hint="eastAsia" w:ascii="宋体" w:hAnsi="宋体" w:eastAsia="宋体" w:cs="宋体"/>
                <w:spacing w:val="5"/>
                <w:sz w:val="23"/>
                <w:szCs w:val="23"/>
                <w:lang w:eastAsia="zh-CN"/>
              </w:rPr>
              <w:t>基本情况</w:t>
            </w:r>
          </w:p>
        </w:tc>
        <w:tc>
          <w:tcPr>
            <w:tcW w:w="7509" w:type="dxa"/>
            <w:gridSpan w:val="6"/>
            <w:vAlign w:val="top"/>
          </w:tcPr>
          <w:p w14:paraId="42460DD7">
            <w:pPr>
              <w:spacing w:before="39" w:line="208" w:lineRule="auto"/>
              <w:ind w:left="15"/>
              <w:jc w:val="center"/>
              <w:rPr>
                <w:rFonts w:hint="default" w:ascii="宋体" w:hAnsi="宋体" w:eastAsia="宋体" w:cs="宋体"/>
                <w:spacing w:val="1"/>
                <w:sz w:val="23"/>
                <w:szCs w:val="23"/>
                <w:lang w:val="en-US" w:eastAsia="zh-CN"/>
              </w:rPr>
            </w:pPr>
            <w:r>
              <w:rPr>
                <w:rFonts w:hint="eastAsia" w:ascii="宋体" w:hAnsi="宋体" w:eastAsia="宋体" w:cs="宋体"/>
                <w:spacing w:val="5"/>
                <w:sz w:val="23"/>
                <w:szCs w:val="23"/>
                <w:lang w:val="en-US" w:eastAsia="zh-CN"/>
              </w:rPr>
              <w:t>机器人产业园项目位于江西省赣州市南康区镜坝工业园产业大道以南、庄稼大道（原宏业路）以东。项目占地面积17684.95m2，总建筑面积61514.50m2，共有1#厂房、2#厂房2栋单体建筑。其中1#厂房为地上9层，建筑面积24207.10m2；2#厂房为地上9层，地下1层，地下建筑面积1156.28m2，地上建筑面积36122.60m2。项目总投资约1.4亿元，其中建安费约1.1亿元。</w:t>
            </w:r>
          </w:p>
        </w:tc>
      </w:tr>
      <w:tr w14:paraId="2BC6A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370" w:type="dxa"/>
            <w:vAlign w:val="top"/>
          </w:tcPr>
          <w:p w14:paraId="08ADC3E3">
            <w:pPr>
              <w:spacing w:before="62" w:line="215" w:lineRule="auto"/>
              <w:ind w:left="15"/>
              <w:jc w:val="center"/>
              <w:rPr>
                <w:rFonts w:ascii="宋体" w:hAnsi="宋体" w:eastAsia="宋体" w:cs="宋体"/>
                <w:sz w:val="23"/>
                <w:szCs w:val="23"/>
              </w:rPr>
            </w:pPr>
            <w:r>
              <w:rPr>
                <w:rFonts w:ascii="宋体" w:hAnsi="宋体" w:eastAsia="宋体" w:cs="宋体"/>
                <w:spacing w:val="-2"/>
                <w:sz w:val="23"/>
                <w:szCs w:val="23"/>
              </w:rPr>
              <w:t>付款方式</w:t>
            </w:r>
          </w:p>
        </w:tc>
        <w:tc>
          <w:tcPr>
            <w:tcW w:w="7509" w:type="dxa"/>
            <w:gridSpan w:val="6"/>
            <w:vAlign w:val="top"/>
          </w:tcPr>
          <w:p w14:paraId="4016034A">
            <w:pPr>
              <w:spacing w:before="62" w:line="215" w:lineRule="auto"/>
              <w:ind w:left="2"/>
              <w:jc w:val="left"/>
              <w:rPr>
                <w:rFonts w:ascii="宋体" w:hAnsi="宋体" w:eastAsia="宋体" w:cs="宋体"/>
                <w:sz w:val="23"/>
                <w:szCs w:val="23"/>
              </w:rPr>
            </w:pPr>
            <w:r>
              <w:rPr>
                <w:rFonts w:ascii="宋体" w:hAnsi="宋体" w:eastAsia="宋体" w:cs="宋体"/>
                <w:spacing w:val="1"/>
                <w:sz w:val="23"/>
                <w:szCs w:val="23"/>
              </w:rPr>
              <w:t>按合同约定付款</w:t>
            </w:r>
          </w:p>
        </w:tc>
      </w:tr>
      <w:tr w14:paraId="6D7E6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879" w:type="dxa"/>
            <w:gridSpan w:val="7"/>
            <w:vAlign w:val="top"/>
          </w:tcPr>
          <w:p w14:paraId="7560DDF9">
            <w:pPr>
              <w:spacing w:before="50" w:line="216" w:lineRule="auto"/>
              <w:ind w:left="3825"/>
              <w:jc w:val="both"/>
              <w:rPr>
                <w:rFonts w:ascii="宋体" w:hAnsi="宋体" w:eastAsia="宋体" w:cs="宋体"/>
                <w:sz w:val="23"/>
                <w:szCs w:val="23"/>
              </w:rPr>
            </w:pPr>
            <w:r>
              <w:rPr>
                <w:rFonts w:hint="eastAsia" w:ascii="宋体" w:hAnsi="宋体" w:eastAsia="宋体" w:cs="宋体"/>
                <w:spacing w:val="1"/>
                <w:sz w:val="23"/>
                <w:szCs w:val="23"/>
                <w:lang w:val="en-US" w:eastAsia="zh-CN"/>
              </w:rPr>
              <w:t>社会稳定风险评估报告</w:t>
            </w:r>
            <w:r>
              <w:rPr>
                <w:rFonts w:ascii="宋体" w:hAnsi="宋体" w:eastAsia="宋体" w:cs="宋体"/>
                <w:spacing w:val="1"/>
                <w:sz w:val="23"/>
                <w:szCs w:val="23"/>
              </w:rPr>
              <w:t>报价表</w:t>
            </w:r>
          </w:p>
        </w:tc>
      </w:tr>
      <w:tr w14:paraId="34A18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370" w:type="dxa"/>
            <w:vMerge w:val="restart"/>
            <w:tcBorders>
              <w:bottom w:val="nil"/>
            </w:tcBorders>
            <w:vAlign w:val="top"/>
          </w:tcPr>
          <w:p w14:paraId="55945C0D">
            <w:pPr>
              <w:pStyle w:val="6"/>
              <w:jc w:val="center"/>
            </w:pPr>
          </w:p>
          <w:p w14:paraId="79759D25">
            <w:pPr>
              <w:pStyle w:val="6"/>
              <w:jc w:val="center"/>
            </w:pPr>
          </w:p>
          <w:p w14:paraId="466EE354">
            <w:pPr>
              <w:pStyle w:val="6"/>
              <w:jc w:val="center"/>
            </w:pPr>
          </w:p>
          <w:p w14:paraId="5207B453">
            <w:pPr>
              <w:pStyle w:val="6"/>
              <w:spacing w:line="241" w:lineRule="auto"/>
              <w:jc w:val="both"/>
            </w:pPr>
          </w:p>
          <w:p w14:paraId="3D9B562A">
            <w:pPr>
              <w:pStyle w:val="6"/>
              <w:spacing w:line="241" w:lineRule="auto"/>
              <w:jc w:val="center"/>
            </w:pPr>
          </w:p>
          <w:p w14:paraId="745F87E8">
            <w:pPr>
              <w:spacing w:before="75" w:line="218" w:lineRule="auto"/>
              <w:jc w:val="center"/>
              <w:rPr>
                <w:rFonts w:ascii="宋体" w:hAnsi="宋体" w:eastAsia="宋体" w:cs="宋体"/>
                <w:sz w:val="23"/>
                <w:szCs w:val="23"/>
              </w:rPr>
            </w:pPr>
            <w:r>
              <w:rPr>
                <w:rFonts w:ascii="宋体" w:hAnsi="宋体" w:eastAsia="宋体" w:cs="宋体"/>
                <w:spacing w:val="-2"/>
                <w:sz w:val="23"/>
                <w:szCs w:val="23"/>
              </w:rPr>
              <w:t>报价内容</w:t>
            </w:r>
          </w:p>
        </w:tc>
        <w:tc>
          <w:tcPr>
            <w:tcW w:w="677" w:type="dxa"/>
            <w:vAlign w:val="top"/>
          </w:tcPr>
          <w:p w14:paraId="38011E4D">
            <w:pPr>
              <w:spacing w:before="53" w:line="205" w:lineRule="auto"/>
              <w:ind w:left="11"/>
              <w:jc w:val="center"/>
              <w:rPr>
                <w:rFonts w:ascii="宋体" w:hAnsi="宋体" w:eastAsia="宋体" w:cs="宋体"/>
                <w:sz w:val="23"/>
                <w:szCs w:val="23"/>
              </w:rPr>
            </w:pPr>
            <w:r>
              <w:rPr>
                <w:rFonts w:ascii="宋体" w:hAnsi="宋体" w:eastAsia="宋体" w:cs="宋体"/>
                <w:spacing w:val="7"/>
                <w:sz w:val="23"/>
                <w:szCs w:val="23"/>
              </w:rPr>
              <w:t>序号</w:t>
            </w:r>
          </w:p>
        </w:tc>
        <w:tc>
          <w:tcPr>
            <w:tcW w:w="1824" w:type="dxa"/>
            <w:vAlign w:val="top"/>
          </w:tcPr>
          <w:p w14:paraId="0690FA07">
            <w:pPr>
              <w:spacing w:before="52" w:line="206" w:lineRule="auto"/>
              <w:ind w:left="2"/>
              <w:jc w:val="center"/>
              <w:rPr>
                <w:rFonts w:ascii="宋体" w:hAnsi="宋体" w:eastAsia="宋体" w:cs="宋体"/>
                <w:sz w:val="23"/>
                <w:szCs w:val="23"/>
              </w:rPr>
            </w:pPr>
            <w:r>
              <w:rPr>
                <w:rFonts w:hint="eastAsia" w:ascii="宋体" w:hAnsi="宋体" w:eastAsia="宋体" w:cs="宋体"/>
                <w:spacing w:val="2"/>
                <w:sz w:val="23"/>
                <w:szCs w:val="23"/>
                <w:lang w:val="en-US" w:eastAsia="zh-CN"/>
              </w:rPr>
              <w:t>服务</w:t>
            </w:r>
            <w:r>
              <w:rPr>
                <w:rFonts w:ascii="宋体" w:hAnsi="宋体" w:eastAsia="宋体" w:cs="宋体"/>
                <w:spacing w:val="2"/>
                <w:sz w:val="23"/>
                <w:szCs w:val="23"/>
              </w:rPr>
              <w:t>内容</w:t>
            </w:r>
          </w:p>
        </w:tc>
        <w:tc>
          <w:tcPr>
            <w:tcW w:w="902" w:type="dxa"/>
            <w:vAlign w:val="top"/>
          </w:tcPr>
          <w:p w14:paraId="2C5044FF">
            <w:pPr>
              <w:spacing w:before="53" w:line="205" w:lineRule="auto"/>
              <w:ind w:left="145"/>
              <w:jc w:val="center"/>
              <w:rPr>
                <w:rFonts w:ascii="宋体" w:hAnsi="宋体" w:eastAsia="宋体" w:cs="宋体"/>
                <w:sz w:val="23"/>
                <w:szCs w:val="23"/>
              </w:rPr>
            </w:pPr>
            <w:r>
              <w:rPr>
                <w:rFonts w:ascii="宋体" w:hAnsi="宋体" w:eastAsia="宋体" w:cs="宋体"/>
                <w:spacing w:val="-3"/>
                <w:sz w:val="23"/>
                <w:szCs w:val="23"/>
              </w:rPr>
              <w:t>单位</w:t>
            </w:r>
          </w:p>
        </w:tc>
        <w:tc>
          <w:tcPr>
            <w:tcW w:w="959" w:type="dxa"/>
            <w:vAlign w:val="top"/>
          </w:tcPr>
          <w:p w14:paraId="060537F2">
            <w:pPr>
              <w:spacing w:before="52" w:line="206" w:lineRule="auto"/>
              <w:ind w:left="325"/>
              <w:jc w:val="both"/>
              <w:rPr>
                <w:rFonts w:ascii="宋体" w:hAnsi="宋体" w:eastAsia="宋体" w:cs="宋体"/>
                <w:sz w:val="23"/>
                <w:szCs w:val="23"/>
              </w:rPr>
            </w:pPr>
            <w:r>
              <w:rPr>
                <w:rFonts w:ascii="宋体" w:hAnsi="宋体" w:eastAsia="宋体" w:cs="宋体"/>
                <w:spacing w:val="-3"/>
                <w:sz w:val="23"/>
                <w:szCs w:val="23"/>
              </w:rPr>
              <w:t>数量</w:t>
            </w:r>
          </w:p>
        </w:tc>
        <w:tc>
          <w:tcPr>
            <w:tcW w:w="2011" w:type="dxa"/>
            <w:vAlign w:val="top"/>
          </w:tcPr>
          <w:p w14:paraId="24F77DD5">
            <w:pPr>
              <w:spacing w:before="49" w:line="208" w:lineRule="auto"/>
              <w:ind w:left="38"/>
              <w:jc w:val="center"/>
              <w:rPr>
                <w:rFonts w:ascii="宋体" w:hAnsi="宋体" w:eastAsia="宋体" w:cs="宋体"/>
                <w:sz w:val="23"/>
                <w:szCs w:val="23"/>
              </w:rPr>
            </w:pPr>
            <w:r>
              <w:rPr>
                <w:rFonts w:ascii="宋体" w:hAnsi="宋体" w:eastAsia="宋体" w:cs="宋体"/>
                <w:spacing w:val="2"/>
                <w:sz w:val="23"/>
                <w:szCs w:val="23"/>
              </w:rPr>
              <w:t>综合总价</w:t>
            </w:r>
          </w:p>
        </w:tc>
        <w:tc>
          <w:tcPr>
            <w:tcW w:w="1136" w:type="dxa"/>
            <w:vAlign w:val="top"/>
          </w:tcPr>
          <w:p w14:paraId="7AF96D75">
            <w:pPr>
              <w:spacing w:before="53" w:line="205" w:lineRule="auto"/>
              <w:ind w:left="399"/>
              <w:jc w:val="center"/>
              <w:rPr>
                <w:rFonts w:ascii="宋体" w:hAnsi="宋体" w:eastAsia="宋体" w:cs="宋体"/>
                <w:sz w:val="23"/>
                <w:szCs w:val="23"/>
              </w:rPr>
            </w:pPr>
            <w:r>
              <w:rPr>
                <w:rFonts w:ascii="宋体" w:hAnsi="宋体" w:eastAsia="宋体" w:cs="宋体"/>
                <w:spacing w:val="5"/>
                <w:sz w:val="23"/>
                <w:szCs w:val="23"/>
              </w:rPr>
              <w:t>备注</w:t>
            </w:r>
          </w:p>
        </w:tc>
      </w:tr>
      <w:tr w14:paraId="32738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3" w:hRule="atLeast"/>
        </w:trPr>
        <w:tc>
          <w:tcPr>
            <w:tcW w:w="1370" w:type="dxa"/>
            <w:vMerge w:val="continue"/>
            <w:tcBorders>
              <w:top w:val="nil"/>
              <w:bottom w:val="nil"/>
            </w:tcBorders>
            <w:vAlign w:val="top"/>
          </w:tcPr>
          <w:p w14:paraId="563C18E3">
            <w:pPr>
              <w:pStyle w:val="6"/>
              <w:jc w:val="center"/>
            </w:pPr>
          </w:p>
        </w:tc>
        <w:tc>
          <w:tcPr>
            <w:tcW w:w="677" w:type="dxa"/>
            <w:vAlign w:val="top"/>
          </w:tcPr>
          <w:p w14:paraId="7A243004">
            <w:pPr>
              <w:spacing w:before="239" w:line="241" w:lineRule="auto"/>
              <w:ind w:left="192"/>
              <w:jc w:val="center"/>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  </w:t>
            </w:r>
          </w:p>
          <w:p w14:paraId="782A3EE8">
            <w:pPr>
              <w:spacing w:before="239" w:line="241" w:lineRule="auto"/>
              <w:ind w:left="192"/>
              <w:jc w:val="center"/>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1</w:t>
            </w:r>
          </w:p>
        </w:tc>
        <w:tc>
          <w:tcPr>
            <w:tcW w:w="1824" w:type="dxa"/>
            <w:vAlign w:val="top"/>
          </w:tcPr>
          <w:p w14:paraId="70BD6318">
            <w:pPr>
              <w:spacing w:before="67" w:line="210" w:lineRule="auto"/>
              <w:ind w:left="2"/>
              <w:jc w:val="center"/>
              <w:rPr>
                <w:rFonts w:hint="eastAsia" w:ascii="宋体" w:hAnsi="宋体" w:eastAsia="宋体" w:cs="宋体"/>
                <w:spacing w:val="1"/>
                <w:sz w:val="23"/>
                <w:szCs w:val="23"/>
                <w:lang w:val="en-US" w:eastAsia="zh-CN"/>
              </w:rPr>
            </w:pPr>
          </w:p>
          <w:p w14:paraId="7579D466">
            <w:pPr>
              <w:spacing w:before="67" w:line="210" w:lineRule="auto"/>
              <w:jc w:val="both"/>
              <w:rPr>
                <w:rFonts w:hint="eastAsia" w:ascii="宋体" w:hAnsi="宋体" w:eastAsia="宋体" w:cs="宋体"/>
                <w:spacing w:val="1"/>
                <w:sz w:val="23"/>
                <w:szCs w:val="23"/>
                <w:lang w:val="en-US" w:eastAsia="zh-CN"/>
              </w:rPr>
            </w:pPr>
          </w:p>
          <w:p w14:paraId="45ABEB91">
            <w:pPr>
              <w:spacing w:before="67" w:line="210" w:lineRule="auto"/>
              <w:ind w:left="2"/>
              <w:jc w:val="center"/>
              <w:rPr>
                <w:rFonts w:hint="default" w:ascii="宋体" w:hAnsi="宋体" w:eastAsia="宋体" w:cs="宋体"/>
                <w:spacing w:val="1"/>
                <w:sz w:val="23"/>
                <w:szCs w:val="23"/>
                <w:lang w:val="en-US" w:eastAsia="zh-CN"/>
              </w:rPr>
            </w:pPr>
            <w:r>
              <w:rPr>
                <w:rFonts w:hint="eastAsia" w:ascii="宋体" w:hAnsi="宋体" w:eastAsia="宋体" w:cs="宋体"/>
                <w:spacing w:val="2"/>
                <w:sz w:val="23"/>
                <w:szCs w:val="23"/>
                <w:lang w:val="en-US" w:eastAsia="zh-CN"/>
              </w:rPr>
              <w:t>社会稳定风险评估及报告编制</w:t>
            </w:r>
          </w:p>
        </w:tc>
        <w:tc>
          <w:tcPr>
            <w:tcW w:w="902" w:type="dxa"/>
            <w:tcBorders>
              <w:bottom w:val="nil"/>
            </w:tcBorders>
            <w:vAlign w:val="top"/>
          </w:tcPr>
          <w:p w14:paraId="3D5FB5C5">
            <w:pPr>
              <w:pStyle w:val="6"/>
              <w:spacing w:line="252" w:lineRule="auto"/>
              <w:jc w:val="center"/>
            </w:pPr>
          </w:p>
          <w:p w14:paraId="3B64D543">
            <w:pPr>
              <w:pStyle w:val="6"/>
              <w:spacing w:line="252" w:lineRule="auto"/>
              <w:jc w:val="center"/>
            </w:pPr>
          </w:p>
          <w:p w14:paraId="28EAD02E">
            <w:pPr>
              <w:pStyle w:val="6"/>
              <w:spacing w:line="252" w:lineRule="auto"/>
              <w:jc w:val="center"/>
            </w:pPr>
          </w:p>
          <w:p w14:paraId="5F4B1B10">
            <w:pPr>
              <w:pStyle w:val="6"/>
              <w:spacing w:line="253" w:lineRule="auto"/>
              <w:jc w:val="both"/>
            </w:pPr>
          </w:p>
          <w:p w14:paraId="3FA0665B">
            <w:pPr>
              <w:pStyle w:val="6"/>
              <w:spacing w:line="253" w:lineRule="auto"/>
              <w:jc w:val="center"/>
              <w:rPr>
                <w:rFonts w:hint="eastAsia" w:eastAsia="宋体"/>
                <w:lang w:val="en-US" w:eastAsia="zh-CN"/>
              </w:rPr>
            </w:pPr>
            <w:r>
              <w:rPr>
                <w:rFonts w:hint="eastAsia" w:eastAsia="宋体"/>
                <w:lang w:val="en-US" w:eastAsia="zh-CN"/>
              </w:rPr>
              <w:t>项</w:t>
            </w:r>
          </w:p>
          <w:p w14:paraId="46C4E0C0">
            <w:pPr>
              <w:pStyle w:val="6"/>
              <w:spacing w:line="253" w:lineRule="auto"/>
              <w:jc w:val="center"/>
            </w:pPr>
          </w:p>
          <w:p w14:paraId="06D7FF54">
            <w:pPr>
              <w:spacing w:before="75" w:line="219" w:lineRule="auto"/>
              <w:ind w:left="34"/>
              <w:jc w:val="center"/>
              <w:rPr>
                <w:rFonts w:ascii="宋体" w:hAnsi="宋体" w:eastAsia="宋体" w:cs="宋体"/>
                <w:sz w:val="23"/>
                <w:szCs w:val="23"/>
              </w:rPr>
            </w:pPr>
          </w:p>
        </w:tc>
        <w:tc>
          <w:tcPr>
            <w:tcW w:w="959" w:type="dxa"/>
            <w:tcBorders>
              <w:bottom w:val="nil"/>
            </w:tcBorders>
            <w:vAlign w:val="top"/>
          </w:tcPr>
          <w:p w14:paraId="34A90FAC">
            <w:pPr>
              <w:pStyle w:val="6"/>
              <w:spacing w:line="255" w:lineRule="auto"/>
              <w:jc w:val="center"/>
            </w:pPr>
          </w:p>
          <w:p w14:paraId="6A9F08B1">
            <w:pPr>
              <w:pStyle w:val="6"/>
              <w:spacing w:line="255" w:lineRule="auto"/>
              <w:jc w:val="center"/>
            </w:pPr>
          </w:p>
          <w:p w14:paraId="0815B40C">
            <w:pPr>
              <w:pStyle w:val="6"/>
              <w:spacing w:line="256" w:lineRule="auto"/>
              <w:jc w:val="both"/>
            </w:pPr>
          </w:p>
          <w:p w14:paraId="34E5CE5B">
            <w:pPr>
              <w:pStyle w:val="6"/>
              <w:spacing w:line="256" w:lineRule="auto"/>
              <w:jc w:val="center"/>
            </w:pPr>
          </w:p>
          <w:p w14:paraId="610BC539">
            <w:pPr>
              <w:pStyle w:val="6"/>
              <w:spacing w:line="256" w:lineRule="auto"/>
              <w:jc w:val="center"/>
              <w:rPr>
                <w:rFonts w:hint="eastAsia" w:eastAsia="宋体"/>
                <w:lang w:val="en-US" w:eastAsia="zh-CN"/>
              </w:rPr>
            </w:pPr>
            <w:r>
              <w:rPr>
                <w:rFonts w:hint="eastAsia" w:eastAsia="宋体"/>
                <w:lang w:val="en-US" w:eastAsia="zh-CN"/>
              </w:rPr>
              <w:t>1</w:t>
            </w:r>
          </w:p>
          <w:p w14:paraId="1B5902A0">
            <w:pPr>
              <w:spacing w:before="75" w:line="239" w:lineRule="auto"/>
              <w:ind w:left="36"/>
              <w:jc w:val="center"/>
              <w:rPr>
                <w:rFonts w:ascii="宋体" w:hAnsi="宋体" w:eastAsia="宋体" w:cs="宋体"/>
                <w:sz w:val="23"/>
                <w:szCs w:val="23"/>
              </w:rPr>
            </w:pPr>
          </w:p>
        </w:tc>
        <w:tc>
          <w:tcPr>
            <w:tcW w:w="2011" w:type="dxa"/>
            <w:tcBorders>
              <w:bottom w:val="nil"/>
            </w:tcBorders>
            <w:vAlign w:val="top"/>
          </w:tcPr>
          <w:p w14:paraId="715EC5C3">
            <w:pPr>
              <w:spacing w:before="75" w:line="239" w:lineRule="auto"/>
              <w:ind w:left="88"/>
              <w:jc w:val="center"/>
              <w:rPr>
                <w:rFonts w:ascii="宋体" w:hAnsi="宋体" w:eastAsia="宋体" w:cs="宋体"/>
                <w:sz w:val="23"/>
                <w:szCs w:val="23"/>
              </w:rPr>
            </w:pPr>
          </w:p>
        </w:tc>
        <w:tc>
          <w:tcPr>
            <w:tcW w:w="1136" w:type="dxa"/>
            <w:tcBorders>
              <w:bottom w:val="nil"/>
            </w:tcBorders>
            <w:vAlign w:val="top"/>
          </w:tcPr>
          <w:p w14:paraId="096CE101">
            <w:pPr>
              <w:pStyle w:val="6"/>
              <w:spacing w:line="243" w:lineRule="auto"/>
              <w:jc w:val="both"/>
            </w:pPr>
          </w:p>
          <w:p w14:paraId="7731E4F0">
            <w:pPr>
              <w:spacing w:before="75" w:line="255" w:lineRule="auto"/>
              <w:ind w:right="67"/>
              <w:jc w:val="center"/>
              <w:rPr>
                <w:rFonts w:hint="eastAsia" w:ascii="宋体" w:hAnsi="宋体" w:eastAsia="宋体" w:cs="宋体"/>
                <w:sz w:val="23"/>
                <w:szCs w:val="23"/>
                <w:lang w:val="en-US" w:eastAsia="zh-CN"/>
              </w:rPr>
            </w:pPr>
            <w:r>
              <w:rPr>
                <w:rFonts w:ascii="宋体" w:hAnsi="宋体" w:eastAsia="宋体" w:cs="宋体"/>
                <w:spacing w:val="-2"/>
                <w:sz w:val="23"/>
                <w:szCs w:val="23"/>
              </w:rPr>
              <w:t>此报价含税</w:t>
            </w:r>
            <w:r>
              <w:rPr>
                <w:rFonts w:hint="eastAsia" w:ascii="宋体" w:hAnsi="宋体" w:eastAsia="宋体" w:cs="宋体"/>
                <w:spacing w:val="-2"/>
                <w:sz w:val="23"/>
                <w:szCs w:val="23"/>
                <w:lang w:eastAsia="zh-CN"/>
              </w:rPr>
              <w:t>（</w:t>
            </w:r>
            <w:r>
              <w:rPr>
                <w:rFonts w:ascii="宋体" w:hAnsi="宋体" w:eastAsia="宋体" w:cs="宋体"/>
                <w:spacing w:val="5"/>
                <w:sz w:val="23"/>
                <w:szCs w:val="23"/>
              </w:rPr>
              <w:t>增值税专用</w:t>
            </w:r>
            <w:r>
              <w:rPr>
                <w:rFonts w:ascii="宋体" w:hAnsi="宋体" w:eastAsia="宋体" w:cs="宋体"/>
                <w:spacing w:val="-2"/>
                <w:sz w:val="23"/>
                <w:szCs w:val="23"/>
              </w:rPr>
              <w:t>发票税</w:t>
            </w:r>
            <w:r>
              <w:rPr>
                <w:rFonts w:hint="eastAsia" w:ascii="宋体" w:hAnsi="宋体" w:eastAsia="宋体" w:cs="宋体"/>
                <w:spacing w:val="-2"/>
                <w:sz w:val="23"/>
                <w:szCs w:val="23"/>
                <w:lang w:eastAsia="zh-CN"/>
              </w:rPr>
              <w:t>）等一切费用</w:t>
            </w:r>
          </w:p>
        </w:tc>
      </w:tr>
      <w:tr w14:paraId="6BEA1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8879" w:type="dxa"/>
            <w:gridSpan w:val="7"/>
            <w:vAlign w:val="top"/>
          </w:tcPr>
          <w:p w14:paraId="5C94CD0B">
            <w:pPr>
              <w:spacing w:before="58" w:line="213" w:lineRule="auto"/>
              <w:ind w:left="15"/>
              <w:jc w:val="left"/>
              <w:rPr>
                <w:rFonts w:hint="eastAsia" w:ascii="宋体" w:hAnsi="宋体" w:eastAsia="宋体" w:cs="宋体"/>
                <w:spacing w:val="2"/>
                <w:sz w:val="23"/>
                <w:szCs w:val="23"/>
                <w:lang w:val="en-US" w:eastAsia="zh-CN"/>
              </w:rPr>
            </w:pPr>
            <w:r>
              <w:rPr>
                <w:rFonts w:ascii="宋体" w:hAnsi="宋体" w:eastAsia="宋体" w:cs="宋体"/>
                <w:spacing w:val="-1"/>
                <w:sz w:val="23"/>
                <w:szCs w:val="23"/>
              </w:rPr>
              <w:t>注：</w:t>
            </w:r>
            <w:r>
              <w:rPr>
                <w:rFonts w:hint="eastAsia" w:ascii="宋体" w:hAnsi="宋体" w:eastAsia="宋体" w:cs="宋体"/>
                <w:spacing w:val="-1"/>
                <w:sz w:val="23"/>
                <w:szCs w:val="23"/>
                <w:lang w:val="en-US" w:eastAsia="zh-CN"/>
              </w:rPr>
              <w:t>1.评价</w:t>
            </w:r>
            <w:r>
              <w:rPr>
                <w:rFonts w:ascii="宋体" w:hAnsi="宋体" w:eastAsia="宋体" w:cs="宋体"/>
                <w:spacing w:val="-1"/>
                <w:sz w:val="23"/>
                <w:szCs w:val="23"/>
              </w:rPr>
              <w:t>内容按现场实际情况为准</w:t>
            </w:r>
            <w:r>
              <w:rPr>
                <w:rFonts w:hint="eastAsia" w:ascii="宋体" w:hAnsi="宋体" w:eastAsia="宋体" w:cs="宋体"/>
                <w:spacing w:val="-1"/>
                <w:sz w:val="23"/>
                <w:szCs w:val="23"/>
                <w:lang w:eastAsia="zh-CN"/>
              </w:rPr>
              <w:t>，出具</w:t>
            </w:r>
            <w:r>
              <w:rPr>
                <w:rFonts w:hint="eastAsia" w:ascii="宋体" w:hAnsi="宋体" w:eastAsia="宋体" w:cs="宋体"/>
                <w:spacing w:val="2"/>
                <w:sz w:val="23"/>
                <w:szCs w:val="23"/>
                <w:lang w:val="en-US" w:eastAsia="zh-CN"/>
              </w:rPr>
              <w:t>社会稳定风险评估报告</w:t>
            </w:r>
          </w:p>
          <w:p w14:paraId="4C23967C">
            <w:pPr>
              <w:spacing w:before="58" w:line="213" w:lineRule="auto"/>
              <w:ind w:left="15" w:firstLine="234" w:firstLineChars="100"/>
              <w:jc w:val="left"/>
              <w:rPr>
                <w:rFonts w:hint="default" w:ascii="宋体" w:hAnsi="宋体" w:eastAsia="宋体" w:cs="宋体"/>
                <w:spacing w:val="2"/>
                <w:sz w:val="23"/>
                <w:szCs w:val="23"/>
                <w:lang w:val="en-US" w:eastAsia="zh-CN"/>
              </w:rPr>
            </w:pPr>
            <w:r>
              <w:rPr>
                <w:rFonts w:hint="eastAsia" w:ascii="宋体" w:hAnsi="宋体" w:eastAsia="宋体" w:cs="宋体"/>
                <w:spacing w:val="2"/>
                <w:sz w:val="23"/>
                <w:szCs w:val="23"/>
                <w:lang w:val="en-US" w:eastAsia="zh-CN"/>
              </w:rPr>
              <w:t>2.</w:t>
            </w:r>
            <w:r>
              <w:rPr>
                <w:rFonts w:ascii="宋体" w:hAnsi="宋体" w:eastAsia="宋体" w:cs="宋体"/>
                <w:sz w:val="24"/>
                <w:szCs w:val="24"/>
              </w:rPr>
              <w:t>本次询价</w:t>
            </w:r>
            <w:r>
              <w:rPr>
                <w:rStyle w:val="4"/>
                <w:rFonts w:ascii="宋体" w:hAnsi="宋体" w:eastAsia="宋体" w:cs="宋体"/>
                <w:b/>
                <w:bCs/>
                <w:color w:val="1F2329"/>
                <w:sz w:val="24"/>
                <w:szCs w:val="24"/>
              </w:rPr>
              <w:t>社会稳定风险评估服务费用实行总价包干制</w:t>
            </w:r>
            <w:r>
              <w:rPr>
                <w:rFonts w:ascii="宋体" w:hAnsi="宋体" w:eastAsia="宋体" w:cs="宋体"/>
                <w:sz w:val="24"/>
                <w:szCs w:val="24"/>
              </w:rPr>
              <w:t>，报价包含供应商为完成本项目社会稳定风险评估报告编制、现场调研、资料收集、数据分析、专家评审、备案报审、成果提交、后续答疑及配合相关部门核查等全部工作内容所产生的</w:t>
            </w:r>
            <w:r>
              <w:rPr>
                <w:rStyle w:val="4"/>
                <w:rFonts w:ascii="宋体" w:hAnsi="宋体" w:eastAsia="宋体" w:cs="宋体"/>
                <w:b/>
                <w:bCs/>
                <w:color w:val="1F2329"/>
                <w:sz w:val="24"/>
                <w:szCs w:val="24"/>
              </w:rPr>
              <w:t>一切费用</w:t>
            </w:r>
            <w:r>
              <w:rPr>
                <w:rFonts w:ascii="宋体" w:hAnsi="宋体" w:eastAsia="宋体" w:cs="宋体"/>
                <w:sz w:val="24"/>
                <w:szCs w:val="24"/>
              </w:rPr>
              <w:t>，包括但不限于人工费、调研费、差旅费、会务费、专家咨询费、材料费、打印装订费、税费、管理费、利润、风险费及履行合同所需的所有其他费用。</w:t>
            </w:r>
          </w:p>
        </w:tc>
      </w:tr>
    </w:tbl>
    <w:p w14:paraId="39B8786F">
      <w:pPr>
        <w:spacing w:line="275" w:lineRule="auto"/>
        <w:rPr>
          <w:rFonts w:ascii="Arial"/>
          <w:sz w:val="21"/>
        </w:rPr>
      </w:pPr>
    </w:p>
    <w:p w14:paraId="0FAD2496">
      <w:pPr>
        <w:spacing w:before="76" w:line="224" w:lineRule="auto"/>
        <w:rPr>
          <w:rFonts w:hint="eastAsia" w:ascii="黑体" w:hAnsi="黑体" w:eastAsia="黑体" w:cs="黑体"/>
          <w:spacing w:val="-1"/>
          <w:sz w:val="30"/>
          <w:szCs w:val="30"/>
          <w:lang w:eastAsia="zh-CN"/>
        </w:rPr>
      </w:pPr>
    </w:p>
    <w:p w14:paraId="3B6170BE">
      <w:pPr>
        <w:spacing w:before="76" w:line="224" w:lineRule="auto"/>
        <w:rPr>
          <w:rFonts w:hint="eastAsia" w:ascii="黑体" w:hAnsi="黑体" w:eastAsia="黑体" w:cs="黑体"/>
          <w:spacing w:val="-1"/>
          <w:sz w:val="30"/>
          <w:szCs w:val="30"/>
          <w:lang w:eastAsia="zh-CN"/>
        </w:rPr>
      </w:pPr>
      <w:r>
        <w:rPr>
          <w:rFonts w:hint="eastAsia" w:ascii="黑体" w:hAnsi="黑体" w:eastAsia="黑体" w:cs="黑体"/>
          <w:spacing w:val="-1"/>
          <w:sz w:val="30"/>
          <w:szCs w:val="30"/>
          <w:lang w:eastAsia="zh-CN"/>
        </w:rPr>
        <w:t>报价单位（公章）：</w:t>
      </w:r>
    </w:p>
    <w:p w14:paraId="624746A3">
      <w:pPr>
        <w:spacing w:before="76" w:line="224" w:lineRule="auto"/>
        <w:rPr>
          <w:rFonts w:hint="eastAsia" w:ascii="黑体" w:hAnsi="黑体" w:eastAsia="黑体" w:cs="黑体"/>
          <w:spacing w:val="-1"/>
          <w:sz w:val="30"/>
          <w:szCs w:val="30"/>
          <w:lang w:eastAsia="zh-CN"/>
        </w:rPr>
      </w:pPr>
    </w:p>
    <w:p w14:paraId="3BC5C7F2">
      <w:pPr>
        <w:spacing w:before="76" w:line="224" w:lineRule="auto"/>
        <w:rPr>
          <w:rFonts w:ascii="黑体" w:hAnsi="黑体" w:eastAsia="黑体" w:cs="黑体"/>
          <w:sz w:val="30"/>
          <w:szCs w:val="30"/>
        </w:rPr>
      </w:pPr>
      <w:r>
        <w:rPr>
          <w:rFonts w:hint="eastAsia" w:ascii="黑体" w:hAnsi="黑体" w:eastAsia="黑体" w:cs="黑体"/>
          <w:spacing w:val="-1"/>
          <w:sz w:val="30"/>
          <w:szCs w:val="30"/>
          <w:lang w:eastAsia="zh-CN"/>
        </w:rPr>
        <w:t>联系人：</w:t>
      </w:r>
      <w:r>
        <w:rPr>
          <w:rFonts w:hint="eastAsia" w:ascii="黑体" w:hAnsi="黑体" w:eastAsia="黑体" w:cs="黑体"/>
          <w:spacing w:val="-1"/>
          <w:sz w:val="30"/>
          <w:szCs w:val="30"/>
          <w:lang w:val="en-US" w:eastAsia="zh-CN"/>
        </w:rPr>
        <w:t xml:space="preserve">               </w:t>
      </w:r>
      <w:r>
        <w:rPr>
          <w:rFonts w:ascii="黑体" w:hAnsi="黑体" w:eastAsia="黑体" w:cs="黑体"/>
          <w:spacing w:val="-1"/>
          <w:sz w:val="30"/>
          <w:szCs w:val="30"/>
        </w:rPr>
        <w:t xml:space="preserve"> 电话：</w:t>
      </w:r>
    </w:p>
    <w:sectPr>
      <w:pgSz w:w="11906" w:h="16840"/>
      <w:pgMar w:top="1678" w:right="1587" w:bottom="2098"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60C6A"/>
    <w:rsid w:val="0123584C"/>
    <w:rsid w:val="019127B6"/>
    <w:rsid w:val="01E951BF"/>
    <w:rsid w:val="02753E85"/>
    <w:rsid w:val="030376E3"/>
    <w:rsid w:val="038F541B"/>
    <w:rsid w:val="04155920"/>
    <w:rsid w:val="04571835"/>
    <w:rsid w:val="056A1C9B"/>
    <w:rsid w:val="06EE06AA"/>
    <w:rsid w:val="07F75B71"/>
    <w:rsid w:val="088C017B"/>
    <w:rsid w:val="0AB67731"/>
    <w:rsid w:val="0B24469B"/>
    <w:rsid w:val="0D766D04"/>
    <w:rsid w:val="0EF40828"/>
    <w:rsid w:val="0FCB77DB"/>
    <w:rsid w:val="0FE467C4"/>
    <w:rsid w:val="103233B6"/>
    <w:rsid w:val="1045758D"/>
    <w:rsid w:val="10D40911"/>
    <w:rsid w:val="14270D58"/>
    <w:rsid w:val="154C4F1A"/>
    <w:rsid w:val="15512530"/>
    <w:rsid w:val="15C50828"/>
    <w:rsid w:val="15E74C42"/>
    <w:rsid w:val="19555083"/>
    <w:rsid w:val="1A304E0A"/>
    <w:rsid w:val="1A732F49"/>
    <w:rsid w:val="1AE16104"/>
    <w:rsid w:val="1C3F7586"/>
    <w:rsid w:val="1C5340B8"/>
    <w:rsid w:val="1CCB2BC8"/>
    <w:rsid w:val="1DDE4B7D"/>
    <w:rsid w:val="1E1C04F9"/>
    <w:rsid w:val="1ECD1D9F"/>
    <w:rsid w:val="1F113344"/>
    <w:rsid w:val="1FC009DE"/>
    <w:rsid w:val="2118244F"/>
    <w:rsid w:val="21221225"/>
    <w:rsid w:val="21512462"/>
    <w:rsid w:val="228C2DF9"/>
    <w:rsid w:val="23BE3486"/>
    <w:rsid w:val="23E34E2B"/>
    <w:rsid w:val="243C25FD"/>
    <w:rsid w:val="2463402E"/>
    <w:rsid w:val="24B623B0"/>
    <w:rsid w:val="24D34D10"/>
    <w:rsid w:val="24F20F0E"/>
    <w:rsid w:val="256040C9"/>
    <w:rsid w:val="25D21D06"/>
    <w:rsid w:val="25FF73E4"/>
    <w:rsid w:val="26DB60FD"/>
    <w:rsid w:val="272D447F"/>
    <w:rsid w:val="27F51441"/>
    <w:rsid w:val="282B4E63"/>
    <w:rsid w:val="284F3CF2"/>
    <w:rsid w:val="295B3526"/>
    <w:rsid w:val="29EE683F"/>
    <w:rsid w:val="29EF0399"/>
    <w:rsid w:val="29F6367B"/>
    <w:rsid w:val="2AA526F0"/>
    <w:rsid w:val="2BA03472"/>
    <w:rsid w:val="2BF57C61"/>
    <w:rsid w:val="2C247E99"/>
    <w:rsid w:val="2C5129BE"/>
    <w:rsid w:val="2C7A714B"/>
    <w:rsid w:val="2CB27900"/>
    <w:rsid w:val="2D095047"/>
    <w:rsid w:val="2E2959A0"/>
    <w:rsid w:val="2E3A5DFF"/>
    <w:rsid w:val="2E6E5AA9"/>
    <w:rsid w:val="2E7A444E"/>
    <w:rsid w:val="2FC02334"/>
    <w:rsid w:val="30DD6F16"/>
    <w:rsid w:val="32026C34"/>
    <w:rsid w:val="325F5E35"/>
    <w:rsid w:val="335A65FC"/>
    <w:rsid w:val="33A06705"/>
    <w:rsid w:val="33F46A50"/>
    <w:rsid w:val="348A4CBF"/>
    <w:rsid w:val="36981915"/>
    <w:rsid w:val="36AD2EE7"/>
    <w:rsid w:val="36C73FA8"/>
    <w:rsid w:val="372C02AF"/>
    <w:rsid w:val="37AD7642"/>
    <w:rsid w:val="37C130EE"/>
    <w:rsid w:val="38F92413"/>
    <w:rsid w:val="393873DF"/>
    <w:rsid w:val="3A7B57D6"/>
    <w:rsid w:val="3B451940"/>
    <w:rsid w:val="3B4856EC"/>
    <w:rsid w:val="3B8E778B"/>
    <w:rsid w:val="3BDC04F6"/>
    <w:rsid w:val="3C1852A6"/>
    <w:rsid w:val="3CA134EE"/>
    <w:rsid w:val="3E554590"/>
    <w:rsid w:val="3F36616F"/>
    <w:rsid w:val="3F9966FE"/>
    <w:rsid w:val="3FE756BB"/>
    <w:rsid w:val="40503261"/>
    <w:rsid w:val="40692574"/>
    <w:rsid w:val="41833EEA"/>
    <w:rsid w:val="42E3660E"/>
    <w:rsid w:val="43345BA0"/>
    <w:rsid w:val="447A08AC"/>
    <w:rsid w:val="457C68A6"/>
    <w:rsid w:val="46144D30"/>
    <w:rsid w:val="465670F7"/>
    <w:rsid w:val="46607F75"/>
    <w:rsid w:val="468123C6"/>
    <w:rsid w:val="47D227AD"/>
    <w:rsid w:val="49107A31"/>
    <w:rsid w:val="49166616"/>
    <w:rsid w:val="49197F96"/>
    <w:rsid w:val="49883A6B"/>
    <w:rsid w:val="4A0A4480"/>
    <w:rsid w:val="4B245A16"/>
    <w:rsid w:val="4BA12BC2"/>
    <w:rsid w:val="4C5145E8"/>
    <w:rsid w:val="4C972C8F"/>
    <w:rsid w:val="4C9E10EC"/>
    <w:rsid w:val="4D267823"/>
    <w:rsid w:val="4D96420E"/>
    <w:rsid w:val="4DD5418A"/>
    <w:rsid w:val="4E6A373F"/>
    <w:rsid w:val="4EB726FD"/>
    <w:rsid w:val="4F1E452A"/>
    <w:rsid w:val="50100316"/>
    <w:rsid w:val="51165E00"/>
    <w:rsid w:val="51452242"/>
    <w:rsid w:val="51556929"/>
    <w:rsid w:val="52884ADC"/>
    <w:rsid w:val="529A65BD"/>
    <w:rsid w:val="543D0314"/>
    <w:rsid w:val="54906FCA"/>
    <w:rsid w:val="54AA6F8B"/>
    <w:rsid w:val="55B31E70"/>
    <w:rsid w:val="56890E23"/>
    <w:rsid w:val="569C0B56"/>
    <w:rsid w:val="574D00A2"/>
    <w:rsid w:val="576F0018"/>
    <w:rsid w:val="579B705F"/>
    <w:rsid w:val="57B34FD7"/>
    <w:rsid w:val="59575208"/>
    <w:rsid w:val="59CA7788"/>
    <w:rsid w:val="5B503CBD"/>
    <w:rsid w:val="5C272C70"/>
    <w:rsid w:val="5EC96260"/>
    <w:rsid w:val="5F2C67EF"/>
    <w:rsid w:val="5FF30B47"/>
    <w:rsid w:val="61B027E8"/>
    <w:rsid w:val="64316E1E"/>
    <w:rsid w:val="64984977"/>
    <w:rsid w:val="64AA08E2"/>
    <w:rsid w:val="65C459D3"/>
    <w:rsid w:val="6609788A"/>
    <w:rsid w:val="661E3335"/>
    <w:rsid w:val="66D954AE"/>
    <w:rsid w:val="66FB3677"/>
    <w:rsid w:val="6759039D"/>
    <w:rsid w:val="675D60DF"/>
    <w:rsid w:val="67696832"/>
    <w:rsid w:val="679B2764"/>
    <w:rsid w:val="67B61E13"/>
    <w:rsid w:val="689C6793"/>
    <w:rsid w:val="694E4811"/>
    <w:rsid w:val="6A22716C"/>
    <w:rsid w:val="6AAE27AE"/>
    <w:rsid w:val="6B320C5F"/>
    <w:rsid w:val="6B6301E4"/>
    <w:rsid w:val="6BAF44C8"/>
    <w:rsid w:val="6C1D5E3D"/>
    <w:rsid w:val="6C2E783A"/>
    <w:rsid w:val="6C7A503E"/>
    <w:rsid w:val="6D2F5E28"/>
    <w:rsid w:val="6D667370"/>
    <w:rsid w:val="6D8C327A"/>
    <w:rsid w:val="6E5673E4"/>
    <w:rsid w:val="6E5937C9"/>
    <w:rsid w:val="703A5210"/>
    <w:rsid w:val="703D1CBB"/>
    <w:rsid w:val="70F829D5"/>
    <w:rsid w:val="715F2A54"/>
    <w:rsid w:val="71D90A58"/>
    <w:rsid w:val="72907369"/>
    <w:rsid w:val="72C15774"/>
    <w:rsid w:val="74D07EF1"/>
    <w:rsid w:val="74F31E31"/>
    <w:rsid w:val="75B61EF5"/>
    <w:rsid w:val="771A36A5"/>
    <w:rsid w:val="781C169F"/>
    <w:rsid w:val="789E0306"/>
    <w:rsid w:val="7B1565B0"/>
    <w:rsid w:val="7C016BE2"/>
    <w:rsid w:val="7C0C5586"/>
    <w:rsid w:val="7C9C08CD"/>
    <w:rsid w:val="7DD24CD9"/>
    <w:rsid w:val="7F3217A8"/>
    <w:rsid w:val="7FB641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550</Words>
  <Characters>614</Characters>
  <TotalTime>0</TotalTime>
  <ScaleCrop>false</ScaleCrop>
  <LinksUpToDate>false</LinksUpToDate>
  <CharactersWithSpaces>632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2025-12-03T16:53:00Z</dcterms:created>
  <dc:creator>Administrator</dc:creator>
  <cp:lastModifiedBy>LY</cp:lastModifiedBy>
  <cp:lastPrinted>2025-12-09T06:35:00Z</cp:lastPrinted>
  <dcterms:modified xsi:type="dcterms:W3CDTF">2026-04-28T07:55:50Z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2025-12-03T16:53:30Z</vt:filetime>
  </property>
  <property fmtid="{D5CDD505-2E9C-101B-9397-08002B2CF9AE}" pid="4" name="UsrData">
    <vt:lpwstr>692ffa860c9584001fec2c19wl</vt:lpwstr>
  </property>
  <property fmtid="{D5CDD505-2E9C-101B-9397-08002B2CF9AE}" pid="5" name="KSOTemplateDocerSaveRecord">
    <vt:lpwstr>eyJoZGlkIjoiNzJhNDA2MmE1NDhiMWZkM2ZiNzBjZWM5ODc2NGU5OGEiLCJ1c2VySWQiOiIzNDg3NDY2MzkifQ==</vt:lpwstr>
  </property>
  <property fmtid="{D5CDD505-2E9C-101B-9397-08002B2CF9AE}" pid="6" name="KSOProductBuildVer">
    <vt:lpwstr>2052-12.1.0.25865</vt:lpwstr>
  </property>
  <property fmtid="{D5CDD505-2E9C-101B-9397-08002B2CF9AE}" pid="7" name="ICV">
    <vt:lpwstr>650A5B63EC6444B696735FC848C8DF94_13</vt:lpwstr>
  </property>
</Properties>
</file>