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05B0759">
      <w:pPr>
        <w:spacing w:before="98" w:line="221" w:lineRule="auto"/>
        <w:jc w:val="center"/>
        <w:rPr>
          <w:rFonts w:ascii="黑体" w:hAnsi="黑体" w:eastAsia="黑体" w:cs="黑体"/>
          <w:sz w:val="47"/>
          <w:szCs w:val="47"/>
        </w:rPr>
      </w:pPr>
      <w:bookmarkStart w:id="0" w:name="_GoBack"/>
      <w:bookmarkEnd w:id="0"/>
      <w:r>
        <w:rPr>
          <w:rFonts w:hint="eastAsia" w:ascii="黑体" w:hAnsi="黑体" w:eastAsia="黑体" w:cs="黑体"/>
          <w:b/>
          <w:bCs/>
          <w:spacing w:val="-4"/>
          <w:sz w:val="47"/>
          <w:szCs w:val="47"/>
          <w:lang w:val="en-US" w:eastAsia="zh-CN"/>
        </w:rPr>
        <w:t>占用湿地可行性报告编制</w:t>
      </w:r>
      <w:r>
        <w:rPr>
          <w:rFonts w:hint="eastAsia" w:ascii="黑体" w:hAnsi="黑体" w:eastAsia="黑体" w:cs="黑体"/>
          <w:b/>
          <w:bCs/>
          <w:spacing w:val="-4"/>
          <w:sz w:val="47"/>
          <w:szCs w:val="47"/>
          <w:lang w:eastAsia="zh-CN"/>
        </w:rPr>
        <w:t>报</w:t>
      </w:r>
      <w:r>
        <w:rPr>
          <w:rFonts w:ascii="黑体" w:hAnsi="黑体" w:eastAsia="黑体" w:cs="黑体"/>
          <w:b/>
          <w:bCs/>
          <w:spacing w:val="-4"/>
          <w:sz w:val="47"/>
          <w:szCs w:val="47"/>
        </w:rPr>
        <w:t>价表</w:t>
      </w:r>
    </w:p>
    <w:p w14:paraId="796D5EA6">
      <w:pPr>
        <w:spacing w:before="167" w:line="390" w:lineRule="auto"/>
        <w:ind w:right="1366"/>
        <w:rPr>
          <w:rFonts w:ascii="黑体" w:hAnsi="黑体" w:eastAsia="黑体" w:cs="黑体"/>
          <w:spacing w:val="-1"/>
          <w:sz w:val="30"/>
          <w:szCs w:val="30"/>
        </w:rPr>
      </w:pPr>
    </w:p>
    <w:p w14:paraId="62DF9C21">
      <w:pPr>
        <w:spacing w:before="120" w:after="120" w:line="288" w:lineRule="auto"/>
        <w:ind w:left="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赣州市南康区城发集团工程投资管理有限公司</w:t>
      </w:r>
    </w:p>
    <w:p w14:paraId="5DE6E2CF">
      <w:pPr>
        <w:spacing w:before="120" w:after="120" w:line="288" w:lineRule="auto"/>
        <w:ind w:left="0" w:firstLine="640" w:firstLineChars="200"/>
        <w:jc w:val="left"/>
        <w:rPr>
          <w:rFonts w:ascii="黑体" w:hAnsi="黑体" w:eastAsia="黑体" w:cs="黑体"/>
          <w:spacing w:val="-1"/>
          <w:sz w:val="30"/>
          <w:szCs w:val="30"/>
        </w:rPr>
      </w:pPr>
      <w:r>
        <w:rPr>
          <w:rFonts w:hint="eastAsia" w:ascii="仿宋_GB2312" w:hAnsi="仿宋_GB2312" w:eastAsia="仿宋_GB2312" w:cs="仿宋_GB2312"/>
          <w:sz w:val="32"/>
          <w:szCs w:val="32"/>
        </w:rPr>
        <w:t>我方已认真研读《湿地占用可行性报告编制服务询价公告》全部内容，充分了解本项目服务范围、工作要求、工期标准、评审规则及全部询价条款。我方自愿参与本次项目报价，结合项目实际情况及自身服务能力，现郑重作出如下报价：</w:t>
      </w:r>
    </w:p>
    <w:p w14:paraId="248A3DE8">
      <w:pPr>
        <w:spacing w:line="88" w:lineRule="exact"/>
      </w:pPr>
    </w:p>
    <w:tbl>
      <w:tblPr>
        <w:tblStyle w:val="5"/>
        <w:tblW w:w="8847" w:type="dxa"/>
        <w:tblInd w:w="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366"/>
        <w:gridCol w:w="2311"/>
        <w:gridCol w:w="1082"/>
        <w:gridCol w:w="957"/>
        <w:gridCol w:w="1434"/>
        <w:gridCol w:w="1697"/>
      </w:tblGrid>
      <w:tr w14:paraId="4A2C09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4" w:hRule="atLeast"/>
        </w:trPr>
        <w:tc>
          <w:tcPr>
            <w:tcW w:w="1366" w:type="dxa"/>
            <w:vAlign w:val="top"/>
          </w:tcPr>
          <w:p w14:paraId="182E5A62">
            <w:pPr>
              <w:spacing w:before="56" w:line="215" w:lineRule="auto"/>
              <w:ind w:left="15"/>
              <w:jc w:val="center"/>
              <w:rPr>
                <w:rFonts w:hint="eastAsia" w:ascii="仿宋_GB2312" w:hAnsi="仿宋_GB2312" w:eastAsia="仿宋_GB2312" w:cs="仿宋_GB2312"/>
                <w:sz w:val="23"/>
                <w:szCs w:val="23"/>
              </w:rPr>
            </w:pPr>
            <w:r>
              <w:rPr>
                <w:rFonts w:hint="eastAsia" w:ascii="仿宋_GB2312" w:hAnsi="仿宋_GB2312" w:eastAsia="仿宋_GB2312" w:cs="仿宋_GB2312"/>
                <w:spacing w:val="5"/>
                <w:sz w:val="23"/>
                <w:szCs w:val="23"/>
                <w:lang w:eastAsia="zh-CN"/>
              </w:rPr>
              <w:t>建设单位</w:t>
            </w:r>
          </w:p>
        </w:tc>
        <w:tc>
          <w:tcPr>
            <w:tcW w:w="7481" w:type="dxa"/>
            <w:gridSpan w:val="5"/>
            <w:vAlign w:val="top"/>
          </w:tcPr>
          <w:p w14:paraId="063E7C8B">
            <w:pPr>
              <w:spacing w:before="53" w:line="217" w:lineRule="auto"/>
              <w:ind w:left="2" w:firstLine="232" w:firstLineChars="100"/>
              <w:jc w:val="left"/>
              <w:rPr>
                <w:rFonts w:hint="eastAsia" w:ascii="仿宋_GB2312" w:hAnsi="仿宋_GB2312" w:eastAsia="仿宋_GB2312" w:cs="仿宋_GB2312"/>
                <w:sz w:val="23"/>
                <w:szCs w:val="23"/>
              </w:rPr>
            </w:pPr>
            <w:r>
              <w:rPr>
                <w:rFonts w:hint="eastAsia" w:ascii="仿宋_GB2312" w:hAnsi="仿宋_GB2312" w:eastAsia="仿宋_GB2312" w:cs="仿宋_GB2312"/>
                <w:spacing w:val="1"/>
                <w:sz w:val="23"/>
                <w:szCs w:val="23"/>
              </w:rPr>
              <w:t>赣州市南康区城发集团工程投资管理有限公司</w:t>
            </w:r>
          </w:p>
        </w:tc>
      </w:tr>
      <w:tr w14:paraId="000BAE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9" w:hRule="atLeast"/>
        </w:trPr>
        <w:tc>
          <w:tcPr>
            <w:tcW w:w="1366" w:type="dxa"/>
            <w:vAlign w:val="top"/>
          </w:tcPr>
          <w:p w14:paraId="5868B6DF">
            <w:pPr>
              <w:spacing w:before="39" w:line="208" w:lineRule="auto"/>
              <w:ind w:left="15"/>
              <w:jc w:val="center"/>
              <w:rPr>
                <w:rFonts w:hint="eastAsia" w:ascii="仿宋_GB2312" w:hAnsi="仿宋_GB2312" w:eastAsia="仿宋_GB2312" w:cs="仿宋_GB2312"/>
                <w:sz w:val="23"/>
                <w:szCs w:val="23"/>
              </w:rPr>
            </w:pPr>
            <w:r>
              <w:rPr>
                <w:rFonts w:hint="eastAsia" w:ascii="仿宋_GB2312" w:hAnsi="仿宋_GB2312" w:eastAsia="仿宋_GB2312" w:cs="仿宋_GB2312"/>
                <w:spacing w:val="5"/>
                <w:sz w:val="23"/>
                <w:szCs w:val="23"/>
                <w:lang w:eastAsia="zh-CN"/>
              </w:rPr>
              <w:t>基本情况</w:t>
            </w:r>
          </w:p>
        </w:tc>
        <w:tc>
          <w:tcPr>
            <w:tcW w:w="7481" w:type="dxa"/>
            <w:gridSpan w:val="5"/>
            <w:vAlign w:val="top"/>
          </w:tcPr>
          <w:p w14:paraId="42460DD7">
            <w:pPr>
              <w:spacing w:before="39" w:line="208" w:lineRule="auto"/>
              <w:ind w:left="2" w:firstLine="232" w:firstLineChars="100"/>
              <w:jc w:val="left"/>
              <w:rPr>
                <w:rFonts w:hint="eastAsia" w:ascii="仿宋_GB2312" w:hAnsi="仿宋_GB2312" w:eastAsia="仿宋_GB2312" w:cs="仿宋_GB2312"/>
                <w:sz w:val="23"/>
                <w:szCs w:val="23"/>
                <w:lang w:val="en-US" w:eastAsia="zh-CN"/>
              </w:rPr>
            </w:pPr>
            <w:r>
              <w:rPr>
                <w:rFonts w:hint="eastAsia" w:ascii="仿宋_GB2312" w:hAnsi="仿宋_GB2312" w:eastAsia="仿宋_GB2312" w:cs="仿宋_GB2312"/>
                <w:spacing w:val="1"/>
                <w:sz w:val="23"/>
                <w:szCs w:val="23"/>
                <w:lang w:val="en-US" w:eastAsia="zh-CN"/>
              </w:rPr>
              <w:t>详见公告</w:t>
            </w:r>
          </w:p>
        </w:tc>
      </w:tr>
      <w:tr w14:paraId="2BC6A3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1366" w:type="dxa"/>
            <w:vAlign w:val="top"/>
          </w:tcPr>
          <w:p w14:paraId="08ADC3E3">
            <w:pPr>
              <w:spacing w:before="62" w:line="215" w:lineRule="auto"/>
              <w:ind w:left="15"/>
              <w:jc w:val="center"/>
              <w:rPr>
                <w:rFonts w:hint="eastAsia" w:ascii="仿宋_GB2312" w:hAnsi="仿宋_GB2312" w:eastAsia="仿宋_GB2312" w:cs="仿宋_GB2312"/>
                <w:sz w:val="23"/>
                <w:szCs w:val="23"/>
              </w:rPr>
            </w:pPr>
            <w:r>
              <w:rPr>
                <w:rFonts w:hint="eastAsia" w:ascii="仿宋_GB2312" w:hAnsi="仿宋_GB2312" w:eastAsia="仿宋_GB2312" w:cs="仿宋_GB2312"/>
                <w:spacing w:val="-2"/>
                <w:sz w:val="23"/>
                <w:szCs w:val="23"/>
              </w:rPr>
              <w:t>付款方式</w:t>
            </w:r>
          </w:p>
        </w:tc>
        <w:tc>
          <w:tcPr>
            <w:tcW w:w="7481" w:type="dxa"/>
            <w:gridSpan w:val="5"/>
            <w:vAlign w:val="top"/>
          </w:tcPr>
          <w:p w14:paraId="4016034A">
            <w:pPr>
              <w:spacing w:before="62" w:line="215" w:lineRule="auto"/>
              <w:ind w:left="2" w:firstLine="232" w:firstLineChars="100"/>
              <w:jc w:val="left"/>
              <w:rPr>
                <w:rFonts w:hint="eastAsia" w:ascii="仿宋_GB2312" w:hAnsi="仿宋_GB2312" w:eastAsia="仿宋_GB2312" w:cs="仿宋_GB2312"/>
                <w:sz w:val="23"/>
                <w:szCs w:val="23"/>
              </w:rPr>
            </w:pPr>
            <w:r>
              <w:rPr>
                <w:rFonts w:hint="eastAsia" w:ascii="仿宋_GB2312" w:hAnsi="仿宋_GB2312" w:eastAsia="仿宋_GB2312" w:cs="仿宋_GB2312"/>
                <w:spacing w:val="1"/>
                <w:sz w:val="23"/>
                <w:szCs w:val="23"/>
              </w:rPr>
              <w:t>按合同约定付款</w:t>
            </w:r>
          </w:p>
        </w:tc>
      </w:tr>
      <w:tr w14:paraId="6D7E66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3" w:hRule="atLeast"/>
        </w:trPr>
        <w:tc>
          <w:tcPr>
            <w:tcW w:w="8847" w:type="dxa"/>
            <w:gridSpan w:val="6"/>
            <w:tcBorders>
              <w:bottom w:val="single" w:color="auto" w:sz="4" w:space="0"/>
            </w:tcBorders>
            <w:vAlign w:val="top"/>
          </w:tcPr>
          <w:p w14:paraId="7560DDF9">
            <w:pPr>
              <w:spacing w:before="50" w:line="216" w:lineRule="auto"/>
              <w:jc w:val="center"/>
              <w:rPr>
                <w:rFonts w:hint="eastAsia" w:ascii="仿宋_GB2312" w:hAnsi="仿宋_GB2312" w:eastAsia="仿宋_GB2312" w:cs="仿宋_GB2312"/>
                <w:sz w:val="23"/>
                <w:szCs w:val="23"/>
              </w:rPr>
            </w:pPr>
            <w:r>
              <w:rPr>
                <w:rFonts w:hint="eastAsia" w:ascii="仿宋_GB2312" w:hAnsi="仿宋_GB2312" w:eastAsia="仿宋_GB2312" w:cs="仿宋_GB2312"/>
                <w:spacing w:val="1"/>
                <w:sz w:val="23"/>
                <w:szCs w:val="23"/>
                <w:lang w:val="en-US" w:eastAsia="zh-CN"/>
              </w:rPr>
              <w:t>占用湿地可行性报告编制</w:t>
            </w:r>
            <w:r>
              <w:rPr>
                <w:rFonts w:hint="eastAsia" w:ascii="仿宋_GB2312" w:hAnsi="仿宋_GB2312" w:eastAsia="仿宋_GB2312" w:cs="仿宋_GB2312"/>
                <w:spacing w:val="1"/>
                <w:sz w:val="23"/>
                <w:szCs w:val="23"/>
              </w:rPr>
              <w:t>报价表</w:t>
            </w:r>
          </w:p>
        </w:tc>
      </w:tr>
      <w:tr w14:paraId="34A180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1" w:hRule="atLeast"/>
        </w:trPr>
        <w:tc>
          <w:tcPr>
            <w:tcW w:w="1366" w:type="dxa"/>
            <w:vMerge w:val="restart"/>
            <w:tcBorders>
              <w:top w:val="single" w:color="auto" w:sz="4" w:space="0"/>
              <w:left w:val="single" w:color="auto" w:sz="4" w:space="0"/>
              <w:bottom w:val="single" w:color="auto" w:sz="4" w:space="0"/>
              <w:right w:val="single" w:color="auto" w:sz="4" w:space="0"/>
            </w:tcBorders>
            <w:vAlign w:val="center"/>
          </w:tcPr>
          <w:p w14:paraId="745F87E8">
            <w:pPr>
              <w:spacing w:before="75" w:line="218" w:lineRule="auto"/>
              <w:jc w:val="center"/>
              <w:rPr>
                <w:rFonts w:hint="eastAsia" w:ascii="仿宋_GB2312" w:hAnsi="仿宋_GB2312" w:eastAsia="仿宋_GB2312" w:cs="仿宋_GB2312"/>
                <w:sz w:val="23"/>
                <w:szCs w:val="23"/>
              </w:rPr>
            </w:pPr>
            <w:r>
              <w:rPr>
                <w:rFonts w:hint="eastAsia" w:ascii="仿宋_GB2312" w:hAnsi="仿宋_GB2312" w:eastAsia="仿宋_GB2312" w:cs="仿宋_GB2312"/>
                <w:spacing w:val="-2"/>
                <w:sz w:val="23"/>
                <w:szCs w:val="23"/>
              </w:rPr>
              <w:t>报价内容</w:t>
            </w:r>
          </w:p>
        </w:tc>
        <w:tc>
          <w:tcPr>
            <w:tcW w:w="2311" w:type="dxa"/>
            <w:tcBorders>
              <w:top w:val="single" w:color="auto" w:sz="4" w:space="0"/>
              <w:left w:val="single" w:color="auto" w:sz="4" w:space="0"/>
              <w:bottom w:val="single" w:color="auto" w:sz="4" w:space="0"/>
            </w:tcBorders>
            <w:vAlign w:val="center"/>
          </w:tcPr>
          <w:p w14:paraId="0690FA07">
            <w:pPr>
              <w:spacing w:before="52" w:line="206" w:lineRule="auto"/>
              <w:ind w:left="2"/>
              <w:jc w:val="center"/>
              <w:rPr>
                <w:rFonts w:hint="eastAsia" w:ascii="仿宋_GB2312" w:hAnsi="仿宋_GB2312" w:eastAsia="仿宋_GB2312" w:cs="仿宋_GB2312"/>
                <w:sz w:val="23"/>
                <w:szCs w:val="23"/>
                <w:lang w:val="en-US" w:eastAsia="zh-CN"/>
              </w:rPr>
            </w:pPr>
            <w:r>
              <w:rPr>
                <w:rFonts w:hint="eastAsia" w:ascii="仿宋_GB2312" w:hAnsi="仿宋_GB2312" w:eastAsia="仿宋_GB2312" w:cs="仿宋_GB2312"/>
                <w:spacing w:val="2"/>
                <w:sz w:val="23"/>
                <w:szCs w:val="23"/>
                <w:lang w:val="en-US" w:eastAsia="zh-CN"/>
              </w:rPr>
              <w:t>项目名称</w:t>
            </w:r>
          </w:p>
        </w:tc>
        <w:tc>
          <w:tcPr>
            <w:tcW w:w="1082" w:type="dxa"/>
            <w:tcBorders>
              <w:top w:val="single" w:color="auto" w:sz="4" w:space="0"/>
              <w:bottom w:val="single" w:color="auto" w:sz="4" w:space="0"/>
            </w:tcBorders>
            <w:vAlign w:val="center"/>
          </w:tcPr>
          <w:p w14:paraId="2C5044FF">
            <w:pPr>
              <w:spacing w:before="53" w:line="205" w:lineRule="auto"/>
              <w:ind w:left="145"/>
              <w:jc w:val="center"/>
              <w:rPr>
                <w:rFonts w:hint="eastAsia" w:ascii="仿宋_GB2312" w:hAnsi="仿宋_GB2312" w:eastAsia="仿宋_GB2312" w:cs="仿宋_GB2312"/>
                <w:sz w:val="23"/>
                <w:szCs w:val="23"/>
              </w:rPr>
            </w:pPr>
            <w:r>
              <w:rPr>
                <w:rFonts w:hint="eastAsia" w:ascii="仿宋_GB2312" w:hAnsi="仿宋_GB2312" w:eastAsia="仿宋_GB2312" w:cs="仿宋_GB2312"/>
                <w:spacing w:val="-3"/>
                <w:sz w:val="23"/>
                <w:szCs w:val="23"/>
              </w:rPr>
              <w:t>单位</w:t>
            </w:r>
          </w:p>
        </w:tc>
        <w:tc>
          <w:tcPr>
            <w:tcW w:w="957" w:type="dxa"/>
            <w:tcBorders>
              <w:top w:val="single" w:color="auto" w:sz="4" w:space="0"/>
              <w:bottom w:val="single" w:color="auto" w:sz="4" w:space="0"/>
            </w:tcBorders>
            <w:vAlign w:val="center"/>
          </w:tcPr>
          <w:p w14:paraId="060537F2">
            <w:pPr>
              <w:spacing w:before="52" w:line="206" w:lineRule="auto"/>
              <w:ind w:left="325"/>
              <w:jc w:val="both"/>
              <w:rPr>
                <w:rFonts w:hint="eastAsia" w:ascii="仿宋_GB2312" w:hAnsi="仿宋_GB2312" w:eastAsia="仿宋_GB2312" w:cs="仿宋_GB2312"/>
                <w:sz w:val="23"/>
                <w:szCs w:val="23"/>
              </w:rPr>
            </w:pPr>
            <w:r>
              <w:rPr>
                <w:rFonts w:hint="eastAsia" w:ascii="仿宋_GB2312" w:hAnsi="仿宋_GB2312" w:eastAsia="仿宋_GB2312" w:cs="仿宋_GB2312"/>
                <w:spacing w:val="-3"/>
                <w:sz w:val="23"/>
                <w:szCs w:val="23"/>
              </w:rPr>
              <w:t>数量</w:t>
            </w:r>
          </w:p>
        </w:tc>
        <w:tc>
          <w:tcPr>
            <w:tcW w:w="1434" w:type="dxa"/>
            <w:tcBorders>
              <w:top w:val="single" w:color="auto" w:sz="4" w:space="0"/>
              <w:bottom w:val="single" w:color="auto" w:sz="4" w:space="0"/>
            </w:tcBorders>
            <w:vAlign w:val="center"/>
          </w:tcPr>
          <w:p w14:paraId="24F77DD5">
            <w:pPr>
              <w:spacing w:before="49" w:line="208" w:lineRule="auto"/>
              <w:ind w:left="38"/>
              <w:jc w:val="center"/>
              <w:rPr>
                <w:rFonts w:hint="eastAsia" w:ascii="仿宋_GB2312" w:hAnsi="仿宋_GB2312" w:eastAsia="仿宋_GB2312" w:cs="仿宋_GB2312"/>
                <w:sz w:val="23"/>
                <w:szCs w:val="23"/>
                <w:lang w:val="en-US" w:eastAsia="zh-CN"/>
              </w:rPr>
            </w:pPr>
            <w:r>
              <w:rPr>
                <w:rFonts w:hint="eastAsia" w:ascii="仿宋_GB2312" w:hAnsi="仿宋_GB2312" w:eastAsia="仿宋_GB2312" w:cs="仿宋_GB2312"/>
                <w:sz w:val="23"/>
                <w:szCs w:val="23"/>
                <w:lang w:val="en-US" w:eastAsia="zh-CN"/>
              </w:rPr>
              <w:t>单价</w:t>
            </w:r>
          </w:p>
        </w:tc>
        <w:tc>
          <w:tcPr>
            <w:tcW w:w="1697" w:type="dxa"/>
            <w:tcBorders>
              <w:top w:val="single" w:color="auto" w:sz="4" w:space="0"/>
              <w:bottom w:val="single" w:color="auto" w:sz="4" w:space="0"/>
              <w:right w:val="single" w:color="auto" w:sz="4" w:space="0"/>
            </w:tcBorders>
            <w:vAlign w:val="center"/>
          </w:tcPr>
          <w:p w14:paraId="7AF96D75">
            <w:pPr>
              <w:spacing w:before="53" w:line="205" w:lineRule="auto"/>
              <w:ind w:left="399"/>
              <w:jc w:val="both"/>
              <w:rPr>
                <w:rFonts w:hint="eastAsia" w:ascii="仿宋_GB2312" w:hAnsi="仿宋_GB2312" w:eastAsia="仿宋_GB2312" w:cs="仿宋_GB2312"/>
                <w:sz w:val="23"/>
                <w:szCs w:val="23"/>
              </w:rPr>
            </w:pPr>
            <w:r>
              <w:rPr>
                <w:rFonts w:hint="eastAsia" w:ascii="仿宋_GB2312" w:hAnsi="仿宋_GB2312" w:eastAsia="仿宋_GB2312" w:cs="仿宋_GB2312"/>
                <w:spacing w:val="2"/>
                <w:sz w:val="23"/>
                <w:szCs w:val="23"/>
              </w:rPr>
              <w:t>综合总价</w:t>
            </w:r>
          </w:p>
        </w:tc>
      </w:tr>
      <w:tr w14:paraId="327388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14" w:hRule="atLeast"/>
        </w:trPr>
        <w:tc>
          <w:tcPr>
            <w:tcW w:w="1366" w:type="dxa"/>
            <w:vMerge w:val="continue"/>
            <w:tcBorders>
              <w:top w:val="single" w:color="auto" w:sz="4" w:space="0"/>
              <w:left w:val="single" w:color="auto" w:sz="4" w:space="0"/>
              <w:bottom w:val="single" w:color="auto" w:sz="4" w:space="0"/>
              <w:right w:val="single" w:color="auto" w:sz="4" w:space="0"/>
            </w:tcBorders>
            <w:vAlign w:val="center"/>
          </w:tcPr>
          <w:p w14:paraId="563C18E3">
            <w:pPr>
              <w:pStyle w:val="6"/>
              <w:jc w:val="center"/>
              <w:rPr>
                <w:rFonts w:hint="eastAsia" w:ascii="仿宋_GB2312" w:hAnsi="仿宋_GB2312" w:eastAsia="仿宋_GB2312" w:cs="仿宋_GB2312"/>
              </w:rPr>
            </w:pPr>
          </w:p>
        </w:tc>
        <w:tc>
          <w:tcPr>
            <w:tcW w:w="2311" w:type="dxa"/>
            <w:tcBorders>
              <w:top w:val="single" w:color="auto" w:sz="4" w:space="0"/>
              <w:left w:val="single" w:color="auto" w:sz="4" w:space="0"/>
              <w:bottom w:val="single" w:color="auto" w:sz="4" w:space="0"/>
            </w:tcBorders>
            <w:vAlign w:val="center"/>
          </w:tcPr>
          <w:p w14:paraId="22950D99">
            <w:pPr>
              <w:spacing w:before="67" w:line="210" w:lineRule="auto"/>
              <w:ind w:left="2"/>
              <w:jc w:val="center"/>
              <w:rPr>
                <w:rFonts w:hint="eastAsia" w:ascii="仿宋_GB2312" w:hAnsi="仿宋_GB2312" w:eastAsia="仿宋_GB2312" w:cs="仿宋_GB2312"/>
                <w:spacing w:val="1"/>
                <w:sz w:val="23"/>
                <w:szCs w:val="23"/>
              </w:rPr>
            </w:pPr>
            <w:r>
              <w:rPr>
                <w:rFonts w:hint="eastAsia" w:ascii="仿宋_GB2312" w:hAnsi="仿宋_GB2312" w:eastAsia="仿宋_GB2312" w:cs="仿宋_GB2312"/>
                <w:spacing w:val="1"/>
                <w:sz w:val="23"/>
                <w:szCs w:val="23"/>
                <w:lang w:val="en-US" w:eastAsia="zh-CN"/>
              </w:rPr>
              <w:t>南康区2025年市政路网及配套设施提升改造项目</w:t>
            </w:r>
          </w:p>
        </w:tc>
        <w:tc>
          <w:tcPr>
            <w:tcW w:w="1082" w:type="dxa"/>
            <w:tcBorders>
              <w:top w:val="single" w:color="auto" w:sz="4" w:space="0"/>
              <w:bottom w:val="single" w:color="auto" w:sz="4" w:space="0"/>
            </w:tcBorders>
            <w:vAlign w:val="center"/>
          </w:tcPr>
          <w:p w14:paraId="06D7FF54">
            <w:pPr>
              <w:pStyle w:val="6"/>
              <w:spacing w:line="253" w:lineRule="auto"/>
              <w:jc w:val="center"/>
              <w:rPr>
                <w:rFonts w:hint="eastAsia" w:ascii="仿宋_GB2312" w:hAnsi="仿宋_GB2312" w:eastAsia="仿宋_GB2312" w:cs="仿宋_GB2312"/>
                <w:sz w:val="23"/>
                <w:szCs w:val="23"/>
              </w:rPr>
            </w:pPr>
            <w:r>
              <w:rPr>
                <w:rFonts w:hint="eastAsia" w:ascii="仿宋_GB2312" w:hAnsi="仿宋_GB2312" w:eastAsia="仿宋_GB2312" w:cs="仿宋_GB2312"/>
                <w:sz w:val="22"/>
                <w:szCs w:val="22"/>
                <w:lang w:val="en-US" w:eastAsia="zh-CN"/>
              </w:rPr>
              <w:t>平方米</w:t>
            </w:r>
          </w:p>
        </w:tc>
        <w:tc>
          <w:tcPr>
            <w:tcW w:w="957" w:type="dxa"/>
            <w:tcBorders>
              <w:top w:val="single" w:color="auto" w:sz="4" w:space="0"/>
              <w:bottom w:val="single" w:color="auto" w:sz="4" w:space="0"/>
            </w:tcBorders>
            <w:vAlign w:val="center"/>
          </w:tcPr>
          <w:p w14:paraId="1B5902A0">
            <w:pPr>
              <w:spacing w:before="75" w:line="239" w:lineRule="auto"/>
              <w:jc w:val="center"/>
              <w:rPr>
                <w:rFonts w:hint="eastAsia" w:ascii="仿宋_GB2312" w:hAnsi="仿宋_GB2312" w:eastAsia="仿宋_GB2312" w:cs="仿宋_GB2312"/>
                <w:sz w:val="23"/>
                <w:szCs w:val="23"/>
              </w:rPr>
            </w:pPr>
            <w:r>
              <w:rPr>
                <w:rFonts w:hint="eastAsia" w:ascii="仿宋_GB2312" w:hAnsi="仿宋_GB2312" w:eastAsia="仿宋_GB2312" w:cs="仿宋_GB2312"/>
                <w:sz w:val="23"/>
                <w:szCs w:val="23"/>
                <w:lang w:val="en-US" w:eastAsia="zh-CN"/>
              </w:rPr>
              <w:t>10573</w:t>
            </w:r>
          </w:p>
        </w:tc>
        <w:tc>
          <w:tcPr>
            <w:tcW w:w="1434" w:type="dxa"/>
            <w:tcBorders>
              <w:top w:val="single" w:color="auto" w:sz="4" w:space="0"/>
              <w:bottom w:val="single" w:color="auto" w:sz="4" w:space="0"/>
              <w:right w:val="single" w:color="auto" w:sz="4" w:space="0"/>
            </w:tcBorders>
            <w:vAlign w:val="center"/>
          </w:tcPr>
          <w:p w14:paraId="715EC5C3">
            <w:pPr>
              <w:spacing w:before="75" w:line="239" w:lineRule="auto"/>
              <w:ind w:left="88"/>
              <w:jc w:val="center"/>
              <w:rPr>
                <w:rFonts w:hint="eastAsia" w:ascii="仿宋_GB2312" w:hAnsi="仿宋_GB2312" w:eastAsia="仿宋_GB2312" w:cs="仿宋_GB2312"/>
                <w:sz w:val="23"/>
                <w:szCs w:val="23"/>
              </w:rPr>
            </w:pPr>
          </w:p>
        </w:tc>
        <w:tc>
          <w:tcPr>
            <w:tcW w:w="1697" w:type="dxa"/>
            <w:tcBorders>
              <w:top w:val="single" w:color="auto" w:sz="4" w:space="0"/>
              <w:left w:val="single" w:color="auto" w:sz="4" w:space="0"/>
              <w:bottom w:val="single" w:color="auto" w:sz="4" w:space="0"/>
              <w:right w:val="single" w:color="auto" w:sz="4" w:space="0"/>
            </w:tcBorders>
            <w:vAlign w:val="center"/>
          </w:tcPr>
          <w:p w14:paraId="42E2F6F8">
            <w:pPr>
              <w:pStyle w:val="6"/>
              <w:spacing w:line="243" w:lineRule="auto"/>
              <w:jc w:val="center"/>
              <w:rPr>
                <w:rFonts w:hint="eastAsia" w:ascii="仿宋_GB2312" w:hAnsi="仿宋_GB2312" w:eastAsia="仿宋_GB2312" w:cs="仿宋_GB2312"/>
              </w:rPr>
            </w:pPr>
          </w:p>
          <w:p w14:paraId="7731E4F0">
            <w:pPr>
              <w:spacing w:before="75" w:line="255" w:lineRule="auto"/>
              <w:ind w:right="67"/>
              <w:jc w:val="center"/>
              <w:rPr>
                <w:rFonts w:hint="eastAsia" w:ascii="仿宋_GB2312" w:hAnsi="仿宋_GB2312" w:eastAsia="仿宋_GB2312" w:cs="仿宋_GB2312"/>
                <w:sz w:val="23"/>
                <w:szCs w:val="23"/>
                <w:lang w:val="en-US" w:eastAsia="zh-CN"/>
              </w:rPr>
            </w:pPr>
          </w:p>
        </w:tc>
      </w:tr>
      <w:tr w14:paraId="421F83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0" w:hRule="atLeast"/>
        </w:trPr>
        <w:tc>
          <w:tcPr>
            <w:tcW w:w="8847" w:type="dxa"/>
            <w:gridSpan w:val="6"/>
            <w:tcBorders>
              <w:top w:val="single" w:color="auto" w:sz="4" w:space="0"/>
              <w:left w:val="single" w:color="auto" w:sz="4" w:space="0"/>
              <w:bottom w:val="single" w:color="auto" w:sz="4" w:space="0"/>
              <w:right w:val="single" w:color="auto" w:sz="4" w:space="0"/>
            </w:tcBorders>
            <w:vAlign w:val="top"/>
          </w:tcPr>
          <w:p w14:paraId="73AF4C4D">
            <w:pPr>
              <w:spacing w:before="75" w:line="255" w:lineRule="auto"/>
              <w:ind w:right="67"/>
              <w:jc w:val="left"/>
              <w:rPr>
                <w:rFonts w:hint="eastAsia" w:ascii="仿宋_GB2312" w:hAnsi="仿宋_GB2312" w:eastAsia="仿宋_GB2312" w:cs="仿宋_GB2312"/>
                <w:spacing w:val="-2"/>
                <w:sz w:val="23"/>
                <w:szCs w:val="23"/>
                <w:lang w:val="en-US" w:eastAsia="zh-CN"/>
              </w:rPr>
            </w:pPr>
            <w:r>
              <w:rPr>
                <w:rFonts w:hint="eastAsia" w:ascii="仿宋_GB2312" w:hAnsi="仿宋_GB2312" w:eastAsia="仿宋_GB2312" w:cs="仿宋_GB2312"/>
                <w:spacing w:val="-2"/>
                <w:sz w:val="23"/>
                <w:szCs w:val="23"/>
                <w:lang w:val="en-US" w:eastAsia="zh-CN"/>
              </w:rPr>
              <w:t>备注：本次报价为单价报价，根据本项目工程概况测算预估总价，最终结算价格以相关主管部门正式批复的湿地占用面积进行据实结算。本报价包含项目现场踏勘、现状调查、资料收集整理、报告编制、图文排版、修改校对、专家评审配合、主管部门报审答疑、成果打印交付、税费、售后完善等本项目全部工作内容的所有费用，采购单位无需另行支付其他任何费用。</w:t>
            </w:r>
          </w:p>
          <w:p w14:paraId="4185FA90">
            <w:pPr>
              <w:spacing w:before="75" w:line="255" w:lineRule="auto"/>
              <w:ind w:right="67"/>
              <w:jc w:val="left"/>
              <w:rPr>
                <w:rFonts w:hint="eastAsia" w:ascii="仿宋_GB2312" w:hAnsi="仿宋_GB2312" w:eastAsia="仿宋_GB2312" w:cs="仿宋_GB2312"/>
                <w:spacing w:val="-2"/>
                <w:sz w:val="23"/>
                <w:szCs w:val="23"/>
                <w:lang w:val="en-US" w:eastAsia="zh-CN"/>
              </w:rPr>
            </w:pPr>
          </w:p>
        </w:tc>
      </w:tr>
    </w:tbl>
    <w:p w14:paraId="18A6ECAE">
      <w:pPr>
        <w:spacing w:line="275" w:lineRule="auto"/>
        <w:rPr>
          <w:rFonts w:ascii="Arial"/>
          <w:sz w:val="21"/>
        </w:rPr>
      </w:pPr>
    </w:p>
    <w:p w14:paraId="3B6170BE">
      <w:pPr>
        <w:spacing w:before="76" w:line="224" w:lineRule="auto"/>
        <w:rPr>
          <w:rFonts w:hint="eastAsia" w:ascii="仿宋_GB2312" w:hAnsi="仿宋_GB2312" w:eastAsia="仿宋_GB2312" w:cs="仿宋_GB2312"/>
          <w:spacing w:val="-1"/>
          <w:sz w:val="32"/>
          <w:szCs w:val="32"/>
          <w:lang w:eastAsia="zh-CN"/>
        </w:rPr>
      </w:pPr>
      <w:r>
        <w:rPr>
          <w:rFonts w:hint="eastAsia" w:ascii="仿宋_GB2312" w:hAnsi="仿宋_GB2312" w:eastAsia="仿宋_GB2312" w:cs="仿宋_GB2312"/>
          <w:spacing w:val="-1"/>
          <w:sz w:val="32"/>
          <w:szCs w:val="32"/>
          <w:lang w:eastAsia="zh-CN"/>
        </w:rPr>
        <w:t>报价单位（公章）：</w:t>
      </w:r>
    </w:p>
    <w:p w14:paraId="624746A3">
      <w:pPr>
        <w:spacing w:before="76" w:line="224" w:lineRule="auto"/>
        <w:rPr>
          <w:rFonts w:hint="eastAsia" w:ascii="仿宋_GB2312" w:hAnsi="仿宋_GB2312" w:eastAsia="仿宋_GB2312" w:cs="仿宋_GB2312"/>
          <w:spacing w:val="-1"/>
          <w:sz w:val="32"/>
          <w:szCs w:val="32"/>
          <w:lang w:eastAsia="zh-CN"/>
        </w:rPr>
      </w:pPr>
    </w:p>
    <w:p w14:paraId="3BC5C7F2">
      <w:pPr>
        <w:spacing w:before="76" w:line="224" w:lineRule="auto"/>
        <w:rPr>
          <w:rFonts w:hint="eastAsia" w:ascii="仿宋_GB2312" w:hAnsi="仿宋_GB2312" w:eastAsia="仿宋_GB2312" w:cs="仿宋_GB2312"/>
          <w:sz w:val="32"/>
          <w:szCs w:val="32"/>
        </w:rPr>
      </w:pPr>
      <w:r>
        <w:rPr>
          <w:rFonts w:hint="eastAsia" w:ascii="仿宋_GB2312" w:hAnsi="仿宋_GB2312" w:eastAsia="仿宋_GB2312" w:cs="仿宋_GB2312"/>
          <w:spacing w:val="-1"/>
          <w:sz w:val="32"/>
          <w:szCs w:val="32"/>
          <w:lang w:eastAsia="zh-CN"/>
        </w:rPr>
        <w:t>联系人：</w:t>
      </w:r>
      <w:r>
        <w:rPr>
          <w:rFonts w:hint="eastAsia" w:ascii="仿宋_GB2312" w:hAnsi="仿宋_GB2312" w:eastAsia="仿宋_GB2312" w:cs="仿宋_GB2312"/>
          <w:spacing w:val="-1"/>
          <w:sz w:val="32"/>
          <w:szCs w:val="32"/>
          <w:lang w:val="en-US" w:eastAsia="zh-CN"/>
        </w:rPr>
        <w:t xml:space="preserve">               </w:t>
      </w:r>
      <w:r>
        <w:rPr>
          <w:rFonts w:hint="eastAsia" w:ascii="仿宋_GB2312" w:hAnsi="仿宋_GB2312" w:eastAsia="仿宋_GB2312" w:cs="仿宋_GB2312"/>
          <w:spacing w:val="-1"/>
          <w:sz w:val="32"/>
          <w:szCs w:val="32"/>
        </w:rPr>
        <w:t xml:space="preserve"> 电话：</w:t>
      </w:r>
    </w:p>
    <w:sectPr>
      <w:pgSz w:w="11660" w:h="16840"/>
      <w:pgMar w:top="2098" w:right="1587" w:bottom="2098" w:left="1587" w:header="0" w:footer="0" w:gutter="0"/>
      <w:pgBorders>
        <w:top w:val="none" w:sz="0" w:space="0"/>
        <w:left w:val="none" w:sz="0" w:space="0"/>
        <w:bottom w:val="none" w:sz="0" w:space="0"/>
        <w:right w:val="none" w:sz="0" w:space="0"/>
      </w:pgBorders>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decorative"/>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Noto Sans Mono CJK JP Regular">
    <w:altName w:val="新宋体"/>
    <w:panose1 w:val="00000000000000000000"/>
    <w:charset w:val="00"/>
    <w:family w:val="swiss"/>
    <w:pitch w:val="default"/>
    <w:sig w:usb0="00000000" w:usb1="00000000" w:usb2="00000000" w:usb3="00000000" w:csb0="00040001" w:csb1="00000000"/>
  </w:font>
  <w:font w:name="新宋体">
    <w:panose1 w:val="02010609030101010101"/>
    <w:charset w:val="86"/>
    <w:family w:val="auto"/>
    <w:pitch w:val="default"/>
    <w:sig w:usb0="00000203" w:usb1="288F0000" w:usb2="0000000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8"/>
  <w:doNotDisplayPageBoundaries w:val="1"/>
  <w:displayBackgroundShape w:val="1"/>
  <w:bordersDoNotSurroundHeader w:val="0"/>
  <w:bordersDoNotSurroundFooter w:val="0"/>
  <w:documentProtection w:enforcement="0"/>
  <w:displayHorizontalDrawingGridEvery w:val="1"/>
  <w:displayVerticalDrawingGridEvery w:val="1"/>
  <w:noPunctuationKerning w:val="1"/>
  <w:characterSpacingControl w:val="doNotCompress"/>
  <w:footnotePr>
    <w:footnote w:id="0"/>
    <w:footnote w:id="1"/>
  </w:footnotePr>
  <w:endnotePr>
    <w:endnote w:id="0"/>
    <w:endnote w:id="1"/>
  </w:endnotePr>
  <w:compat>
    <w:spaceForUL/>
    <w:ulTrailSpace/>
    <w:doNotExpandShiftReturn/>
    <w:doNotWrapTextWithPunct/>
    <w:doNotUseEastAsianBreakRules/>
    <w:useFELayout/>
    <w:compatSetting w:name="compatibilityMode" w:uri="http://schemas.microsoft.com/office/word" w:val="14"/>
  </w:compat>
  <w:rsids>
    <w:rsidRoot w:val="00000000"/>
    <w:rsid w:val="05306581"/>
    <w:rsid w:val="19555083"/>
    <w:rsid w:val="20F459F2"/>
    <w:rsid w:val="2118244F"/>
    <w:rsid w:val="21512462"/>
    <w:rsid w:val="226C0226"/>
    <w:rsid w:val="2E1F0918"/>
    <w:rsid w:val="41833EEA"/>
    <w:rsid w:val="4DFD0945"/>
    <w:rsid w:val="54906FCA"/>
    <w:rsid w:val="75B61EF5"/>
    <w:rsid w:val="7B763CA1"/>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character" w:styleId="4">
    <w:name w:val="Strong"/>
    <w:basedOn w:val="3"/>
    <w:qFormat/>
    <w:uiPriority w:val="0"/>
    <w:rPr>
      <w:b/>
    </w:rPr>
  </w:style>
  <w:style w:type="table" w:customStyle="1" w:styleId="5">
    <w:name w:val="Table Normal"/>
    <w:semiHidden/>
    <w:unhideWhenUsed/>
    <w:qFormat/>
    <w:uiPriority w:val="0"/>
    <w:tblPr>
      <w:tblCellMar>
        <w:top w:w="0" w:type="dxa"/>
        <w:left w:w="0" w:type="dxa"/>
        <w:bottom w:w="0" w:type="dxa"/>
        <w:right w:w="0" w:type="dxa"/>
      </w:tblCellMar>
    </w:tblPr>
  </w:style>
  <w:style w:type="paragraph" w:customStyle="1" w:styleId="6">
    <w:name w:val="Table Text"/>
    <w:basedOn w:val="1"/>
    <w:semiHidden/>
    <w:qFormat/>
    <w:uiPriority w:val="0"/>
    <w:rPr>
      <w:rFonts w:ascii="Arial" w:hAnsi="Arial" w:eastAsia="Arial" w:cs="Arial"/>
      <w:sz w:val="21"/>
      <w:szCs w:val="21"/>
      <w:lang w:val="en-US" w:eastAsia="en-US"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1</Pages>
  <Words>415</Words>
  <Characters>422</Characters>
  <TotalTime>1</TotalTime>
  <ScaleCrop>false</ScaleCrop>
  <LinksUpToDate>false</LinksUpToDate>
  <CharactersWithSpaces>438</CharactersWithSpaces>
  <Application>WPS Office_12.1.0.19770_F1E327BC-269C-435d-A152-05C5408002CA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2025-12-03T16:53:00Z</dcterms:created>
  <dc:creator>Administrator</dc:creator>
  <cp:lastModifiedBy>东南十三里。</cp:lastModifiedBy>
  <cp:lastPrinted>2026-07-29T08:20:00Z</cp:lastPrinted>
  <dcterms:modified xsi:type="dcterms:W3CDTF">2026-08-06T07:21:48Z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wqlLaW5nc29mdCBQREYgdG8gV1BTIDExMEI</vt:lpwstr>
  </property>
  <property fmtid="{D5CDD505-2E9C-101B-9397-08002B2CF9AE}" pid="3" name="Created">
    <vt:filetime>2025-12-03T16:53:30Z</vt:filetime>
  </property>
  <property fmtid="{D5CDD505-2E9C-101B-9397-08002B2CF9AE}" pid="4" name="UsrData">
    <vt:lpwstr>692ffa860c9584001fec2c19wl</vt:lpwstr>
  </property>
  <property fmtid="{D5CDD505-2E9C-101B-9397-08002B2CF9AE}" pid="5" name="KSOTemplateDocerSaveRecord">
    <vt:lpwstr>eyJoZGlkIjoiNzZmNzNkZDk5Zjk0YTUzNzE4MGVkNmFhODg5OTBlMWEiLCJ1c2VySWQiOiI0MTMwNzE5NjYifQ==</vt:lpwstr>
  </property>
  <property fmtid="{D5CDD505-2E9C-101B-9397-08002B2CF9AE}" pid="6" name="KSOProductBuildVer">
    <vt:lpwstr>2052-12.1.0.19770</vt:lpwstr>
  </property>
  <property fmtid="{D5CDD505-2E9C-101B-9397-08002B2CF9AE}" pid="7" name="ICV">
    <vt:lpwstr>30FC38BFE9304235831E74E36437823D_13</vt:lpwstr>
  </property>
</Properties>
</file>